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98821D4" w14:textId="78090475" w:rsidR="007C27D2" w:rsidRPr="00D44441" w:rsidRDefault="007C27D2" w:rsidP="00BA343A">
      <w:pPr>
        <w:pStyle w:val="Heading"/>
        <w:pBdr>
          <w:top w:val="none" w:sz="0" w:space="0" w:color="auto"/>
          <w:left w:val="none" w:sz="0" w:space="0" w:color="auto"/>
          <w:bottom w:val="none" w:sz="0" w:space="0" w:color="auto"/>
          <w:right w:val="none" w:sz="0" w:space="0" w:color="auto"/>
          <w:bar w:val="none" w:sz="0" w:color="auto"/>
        </w:pBdr>
        <w:rPr>
          <w:lang w:val="en-GB"/>
        </w:rPr>
      </w:pPr>
      <w:r w:rsidRPr="00D44441">
        <w:rPr>
          <w:lang w:val="en-GB"/>
        </w:rPr>
        <w:t xml:space="preserve">DCP </w:t>
      </w:r>
      <w:r w:rsidR="007E07B4">
        <w:rPr>
          <w:lang w:val="en-GB"/>
        </w:rPr>
        <w:t xml:space="preserve">179 </w:t>
      </w:r>
      <w:r w:rsidR="00984EAC">
        <w:rPr>
          <w:lang w:val="en-GB"/>
        </w:rPr>
        <w:t>April</w:t>
      </w:r>
      <w:r w:rsidR="009D2DFD">
        <w:rPr>
          <w:lang w:val="en-GB"/>
        </w:rPr>
        <w:t xml:space="preserve"> 2014 CDCM model r65</w:t>
      </w:r>
      <w:bookmarkStart w:id="0" w:name="_GoBack"/>
      <w:r w:rsidR="009D2DFD">
        <w:rPr>
          <w:lang w:val="en-GB"/>
        </w:rPr>
        <w:t>65</w:t>
      </w:r>
      <w:bookmarkEnd w:id="0"/>
    </w:p>
    <w:p w14:paraId="56869689" w14:textId="77777777" w:rsidR="007C27D2" w:rsidRDefault="007C27D2" w:rsidP="00FB5E84">
      <w:pPr>
        <w:pStyle w:val="Byline"/>
        <w:numPr>
          <w:ilvl w:val="0"/>
          <w:numId w:val="24"/>
        </w:numPr>
      </w:pPr>
      <w:proofErr w:type="gramStart"/>
      <w:r w:rsidRPr="00AB6F30">
        <w:rPr>
          <w:color w:val="808080"/>
        </w:rPr>
        <w:t>by</w:t>
      </w:r>
      <w:proofErr w:type="gramEnd"/>
      <w:r w:rsidRPr="00AB6F30">
        <w:t xml:space="preserve"> Franck </w:t>
      </w:r>
      <w:r w:rsidRPr="004F03A7">
        <w:t>Latrémolière</w:t>
      </w:r>
      <w:r w:rsidRPr="00AB6F30">
        <w:t xml:space="preserve"> </w:t>
      </w:r>
      <w:r w:rsidRPr="00AB6F30">
        <w:rPr>
          <w:color w:val="808080"/>
        </w:rPr>
        <w:t>on</w:t>
      </w:r>
      <w:r w:rsidRPr="00AB6F30">
        <w:t xml:space="preserve"> </w:t>
      </w:r>
      <w:r w:rsidR="00F731F4">
        <w:fldChar w:fldCharType="begin"/>
      </w:r>
      <w:r w:rsidR="00F731F4">
        <w:instrText xml:space="preserve"> SAVEDATE \@ "dddd d MMMM yyyy" </w:instrText>
      </w:r>
      <w:r w:rsidR="00F731F4">
        <w:fldChar w:fldCharType="separate"/>
      </w:r>
      <w:r w:rsidR="009D2DFD">
        <w:rPr>
          <w:noProof/>
        </w:rPr>
        <w:t>Friday 25 April 2014</w:t>
      </w:r>
      <w:r w:rsidR="00F731F4">
        <w:rPr>
          <w:noProof/>
        </w:rPr>
        <w:fldChar w:fldCharType="end"/>
      </w:r>
    </w:p>
    <w:p w14:paraId="0449DB6B" w14:textId="4A3F030A" w:rsidR="007C27D2" w:rsidRDefault="007C27D2" w:rsidP="00257D83">
      <w:pPr>
        <w:pStyle w:val="Text"/>
      </w:pPr>
      <w:r>
        <w:t>This document describes a</w:t>
      </w:r>
      <w:r w:rsidR="00D44441">
        <w:t xml:space="preserve"> CDCM tariff model </w:t>
      </w:r>
      <w:r>
        <w:t xml:space="preserve">produced to implement </w:t>
      </w:r>
      <w:r w:rsidR="00B0165F">
        <w:t xml:space="preserve">a specification issued by the </w:t>
      </w:r>
      <w:r>
        <w:t xml:space="preserve">DCP </w:t>
      </w:r>
      <w:r w:rsidR="00B0165F">
        <w:t>179</w:t>
      </w:r>
      <w:r>
        <w:t xml:space="preserve"> working group</w:t>
      </w:r>
      <w:r w:rsidR="00B0165F">
        <w:t xml:space="preserve"> on </w:t>
      </w:r>
      <w:r w:rsidR="00694AEE">
        <w:t>23</w:t>
      </w:r>
      <w:r w:rsidR="00B0165F">
        <w:t xml:space="preserve"> </w:t>
      </w:r>
      <w:r w:rsidR="00694AEE">
        <w:t>April</w:t>
      </w:r>
      <w:r w:rsidR="00B0165F">
        <w:t xml:space="preserve"> 2014</w:t>
      </w:r>
      <w:r w:rsidR="00D44441">
        <w:t>.</w:t>
      </w:r>
    </w:p>
    <w:p w14:paraId="401B70B8" w14:textId="7735B96E" w:rsidR="00C90DCF" w:rsidRDefault="007C27D2" w:rsidP="00C2592E">
      <w:pPr>
        <w:pStyle w:val="Text"/>
      </w:pPr>
      <w:r>
        <w:t>The reference version is model 102 published by the DCUSA Panel in 2013.</w:t>
      </w:r>
      <w:bookmarkStart w:id="1" w:name="_Toc260037360"/>
    </w:p>
    <w:p w14:paraId="0732EE4C" w14:textId="77777777" w:rsidR="007C27D2" w:rsidRPr="00C530D0" w:rsidRDefault="007C27D2" w:rsidP="00BA343A">
      <w:pPr>
        <w:pStyle w:val="Heading2"/>
      </w:pPr>
      <w:r w:rsidRPr="00C530D0">
        <w:t>Structural changes</w:t>
      </w:r>
      <w:bookmarkEnd w:id="1"/>
    </w:p>
    <w:p w14:paraId="713B401D" w14:textId="77777777" w:rsidR="00B0165F" w:rsidRDefault="007C27D2" w:rsidP="00257D83">
      <w:pPr>
        <w:pStyle w:val="Text"/>
      </w:pPr>
      <w:r>
        <w:t>The sheet “</w:t>
      </w:r>
      <w:r w:rsidR="00B0165F">
        <w:t>NHH</w:t>
      </w:r>
      <w:r>
        <w:t xml:space="preserve">” has been </w:t>
      </w:r>
      <w:r w:rsidR="00B0165F">
        <w:t>renamed “</w:t>
      </w:r>
      <w:proofErr w:type="spellStart"/>
      <w:r w:rsidR="00B0165F" w:rsidRPr="00B0165F">
        <w:t>AggCap</w:t>
      </w:r>
      <w:proofErr w:type="spellEnd"/>
      <w:r w:rsidR="00B0165F">
        <w:t>” to reflect the fact that it now applies to both half hourly and non half hourly tariffs that are billed on an aggregated basis.</w:t>
      </w:r>
    </w:p>
    <w:p w14:paraId="65160118" w14:textId="77777777" w:rsidR="00257D83" w:rsidRDefault="00257D83" w:rsidP="00257D83">
      <w:pPr>
        <w:pStyle w:val="Text"/>
      </w:pPr>
      <w:r>
        <w:t>The tariff list has changed:</w:t>
      </w:r>
    </w:p>
    <w:p w14:paraId="2FE9650E" w14:textId="77777777" w:rsidR="00257D83" w:rsidRDefault="002806D3" w:rsidP="00257D83">
      <w:pPr>
        <w:pStyle w:val="ListBullet"/>
      </w:pPr>
      <w:r w:rsidRPr="00257D83">
        <w:rPr>
          <w:b/>
        </w:rPr>
        <w:t xml:space="preserve">LV Network Domestic </w:t>
      </w:r>
      <w:r>
        <w:t xml:space="preserve">and </w:t>
      </w:r>
      <w:r w:rsidRPr="00257D83">
        <w:rPr>
          <w:b/>
        </w:rPr>
        <w:t>LV Network Non-Domestic Non-CT</w:t>
      </w:r>
      <w:r>
        <w:t xml:space="preserve"> have been added as aggregated tariffs with red/amber/green unit rates and no capacity or reactive power charges.</w:t>
      </w:r>
    </w:p>
    <w:p w14:paraId="1F884B59" w14:textId="164B70C2" w:rsidR="00257D83" w:rsidRPr="00257D83" w:rsidRDefault="00257D83" w:rsidP="00257D83">
      <w:pPr>
        <w:pStyle w:val="ListBullet"/>
      </w:pPr>
      <w:r w:rsidRPr="00257D83">
        <w:t xml:space="preserve">The </w:t>
      </w:r>
      <w:proofErr w:type="gramStart"/>
      <w:r w:rsidR="00904928">
        <w:t>non half</w:t>
      </w:r>
      <w:proofErr w:type="gramEnd"/>
      <w:r w:rsidR="00904928">
        <w:t xml:space="preserve"> </w:t>
      </w:r>
      <w:r w:rsidRPr="00257D83">
        <w:t xml:space="preserve">hourly LV generation tariff has been relabelled </w:t>
      </w:r>
      <w:r w:rsidRPr="00257D83">
        <w:rPr>
          <w:b/>
        </w:rPr>
        <w:t>LV Generation NHH or Aggregate HH</w:t>
      </w:r>
      <w:r w:rsidRPr="00257D83">
        <w:t>.</w:t>
      </w:r>
    </w:p>
    <w:p w14:paraId="0E63EB6B" w14:textId="4ABF64FB" w:rsidR="002571BC" w:rsidRPr="00257D83" w:rsidRDefault="00257D83" w:rsidP="00257D83">
      <w:pPr>
        <w:pStyle w:val="ListBullet"/>
      </w:pPr>
      <w:r w:rsidRPr="00257D83">
        <w:t>The corresponding LDNO tariffs have been amended accordingly.</w:t>
      </w:r>
    </w:p>
    <w:p w14:paraId="579FE5AA" w14:textId="77777777" w:rsidR="007C27D2" w:rsidRDefault="007C27D2" w:rsidP="00BA343A">
      <w:pPr>
        <w:pStyle w:val="Heading2"/>
      </w:pPr>
      <w:bookmarkStart w:id="2" w:name="_Toc260037361"/>
      <w:r>
        <w:t>Additional input data</w:t>
      </w:r>
      <w:bookmarkEnd w:id="2"/>
    </w:p>
    <w:p w14:paraId="5B9550D7" w14:textId="16C2B2E2" w:rsidR="002806D3" w:rsidRDefault="002806D3" w:rsidP="002806D3">
      <w:pPr>
        <w:pStyle w:val="Text"/>
      </w:pPr>
      <w:r>
        <w:t xml:space="preserve">In table </w:t>
      </w:r>
      <w:r w:rsidR="00352323" w:rsidRPr="00352323">
        <w:rPr>
          <w:b/>
        </w:rPr>
        <w:t>1061. Average split of rate 1 units by distribution time band</w:t>
      </w:r>
      <w:r>
        <w:t xml:space="preserve">, additional lines have been added for the two unrestricted tariffs, </w:t>
      </w:r>
      <w:r w:rsidRPr="002806D3">
        <w:rPr>
          <w:b/>
        </w:rPr>
        <w:t>Domestic Unrestricted</w:t>
      </w:r>
      <w:r>
        <w:t xml:space="preserve"> and </w:t>
      </w:r>
      <w:r w:rsidRPr="002806D3">
        <w:rPr>
          <w:b/>
        </w:rPr>
        <w:t>Small Non Domestic Unrestricted</w:t>
      </w:r>
      <w:r>
        <w:t xml:space="preserve">.  </w:t>
      </w:r>
      <w:r w:rsidR="00694AEE">
        <w:t xml:space="preserve">In the previous model, </w:t>
      </w:r>
      <w:r w:rsidR="00CD119E">
        <w:t xml:space="preserve">these tariffs were calculated purely by reference to coincidence and load factors, and </w:t>
      </w:r>
      <w:r w:rsidR="00694AEE">
        <w:t xml:space="preserve">this breakdown </w:t>
      </w:r>
      <w:r w:rsidR="00CD119E">
        <w:t>was not needed</w:t>
      </w:r>
      <w:r>
        <w:t>.</w:t>
      </w:r>
      <w:r w:rsidR="00CD119E">
        <w:t xml:space="preserve">  It is now needed to calculate equalisation factors for the new aggregated half hourly tariffs.</w:t>
      </w:r>
    </w:p>
    <w:p w14:paraId="6739621D" w14:textId="572CD4FA" w:rsidR="00352323" w:rsidRDefault="00CD119E" w:rsidP="002806D3">
      <w:pPr>
        <w:pStyle w:val="Text"/>
      </w:pPr>
      <w:r>
        <w:t xml:space="preserve">Other </w:t>
      </w:r>
      <w:r w:rsidR="00A42FE8">
        <w:t>i</w:t>
      </w:r>
      <w:r w:rsidR="00352323">
        <w:t>nput data tables have been modified to reflect changes to the tariff list.</w:t>
      </w:r>
    </w:p>
    <w:p w14:paraId="57946939" w14:textId="77777777" w:rsidR="007C27D2" w:rsidRDefault="007C27D2" w:rsidP="00BA343A">
      <w:pPr>
        <w:pStyle w:val="Heading2"/>
      </w:pPr>
      <w:bookmarkStart w:id="3" w:name="_Toc260037362"/>
      <w:r>
        <w:t>Additional or modified outputs</w:t>
      </w:r>
      <w:bookmarkEnd w:id="3"/>
    </w:p>
    <w:p w14:paraId="73959D79" w14:textId="13A2114B" w:rsidR="007C27D2" w:rsidRDefault="007C27D2" w:rsidP="00257D83">
      <w:pPr>
        <w:pStyle w:val="Text"/>
      </w:pPr>
      <w:r>
        <w:t>There are no chan</w:t>
      </w:r>
      <w:r w:rsidR="00B0165F">
        <w:t>ges to the</w:t>
      </w:r>
      <w:r w:rsidR="00257D83">
        <w:t xml:space="preserve"> structure of outputs beyond those resulting from the</w:t>
      </w:r>
      <w:r w:rsidR="00B0165F">
        <w:t xml:space="preserve"> changes to the tariff list.</w:t>
      </w:r>
    </w:p>
    <w:p w14:paraId="4DC72F21" w14:textId="77777777" w:rsidR="007C27D2" w:rsidRDefault="007C27D2" w:rsidP="00BA343A">
      <w:pPr>
        <w:pStyle w:val="Heading2"/>
      </w:pPr>
      <w:bookmarkStart w:id="4" w:name="_Toc260037363"/>
      <w:r>
        <w:t>New or modified calculation tables</w:t>
      </w:r>
      <w:bookmarkEnd w:id="4"/>
    </w:p>
    <w:p w14:paraId="35F5C812" w14:textId="77777777" w:rsidR="00E65237" w:rsidRDefault="00E65237" w:rsidP="00257D83">
      <w:pPr>
        <w:pStyle w:val="Text"/>
      </w:pPr>
      <w:r>
        <w:t>On the Multi sheet:</w:t>
      </w:r>
    </w:p>
    <w:p w14:paraId="71C1ADA6" w14:textId="77777777" w:rsidR="00E65237" w:rsidRDefault="00E65237" w:rsidP="00E65237">
      <w:pPr>
        <w:pStyle w:val="Text"/>
        <w:numPr>
          <w:ilvl w:val="2"/>
          <w:numId w:val="10"/>
        </w:numPr>
      </w:pPr>
      <w:r>
        <w:t>Tables 2408 to 2413</w:t>
      </w:r>
      <w:r w:rsidR="00A51B07">
        <w:t xml:space="preserve"> have been replaced with</w:t>
      </w:r>
      <w:r>
        <w:t xml:space="preserve"> tables 2408 to 2439, which include the implementation of the additional equalisation correction factors.</w:t>
      </w:r>
    </w:p>
    <w:p w14:paraId="135701C2" w14:textId="77777777" w:rsidR="005B7BB9" w:rsidRDefault="00E65237" w:rsidP="00E65237">
      <w:pPr>
        <w:pStyle w:val="Text"/>
        <w:numPr>
          <w:ilvl w:val="2"/>
          <w:numId w:val="10"/>
        </w:numPr>
      </w:pPr>
      <w:r>
        <w:t xml:space="preserve">Tables </w:t>
      </w:r>
      <w:r w:rsidR="005B7BB9">
        <w:t>2425 to 2429 have been replaced with table 2451.  This simplifies the implementation of the DCP 130 rules for unmetered supplies without changing the methodology or the tariffs.</w:t>
      </w:r>
    </w:p>
    <w:p w14:paraId="5A58855B" w14:textId="7AF701C4" w:rsidR="00A51B07" w:rsidRDefault="00E65237" w:rsidP="00257D83">
      <w:pPr>
        <w:pStyle w:val="Text"/>
      </w:pPr>
      <w:r>
        <w:lastRenderedPageBreak/>
        <w:t>T</w:t>
      </w:r>
      <w:r w:rsidR="00A51B07">
        <w:t xml:space="preserve">able </w:t>
      </w:r>
      <w:r w:rsidR="00A51B07">
        <w:fldChar w:fldCharType="begin"/>
      </w:r>
      <w:r w:rsidR="00A51B07">
        <w:instrText xml:space="preserve"> =1+</w:instrText>
      </w:r>
      <w:r w:rsidR="00A51B07">
        <w:fldChar w:fldCharType="begin"/>
      </w:r>
      <w:r w:rsidR="00A51B07">
        <w:instrText xml:space="preserve"> SEQ \c Table \* ARABIC </w:instrText>
      </w:r>
      <w:r w:rsidR="00A51B07">
        <w:fldChar w:fldCharType="separate"/>
      </w:r>
      <w:r w:rsidR="00C90DCF">
        <w:rPr>
          <w:noProof/>
        </w:rPr>
        <w:instrText>0</w:instrText>
      </w:r>
      <w:r w:rsidR="00A51B07">
        <w:rPr>
          <w:noProof/>
        </w:rPr>
        <w:fldChar w:fldCharType="end"/>
      </w:r>
      <w:r w:rsidR="00A51B07">
        <w:fldChar w:fldCharType="separate"/>
      </w:r>
      <w:r w:rsidR="00C90DCF">
        <w:rPr>
          <w:noProof/>
        </w:rPr>
        <w:t>1</w:t>
      </w:r>
      <w:r w:rsidR="00A51B07">
        <w:fldChar w:fldCharType="end"/>
      </w:r>
      <w:r>
        <w:t xml:space="preserve"> summarises the operation of each table on the new Multi sheet</w:t>
      </w:r>
      <w:r w:rsidR="00A51B07">
        <w:t>.</w:t>
      </w:r>
    </w:p>
    <w:tbl>
      <w:tblPr>
        <w:tblW w:w="0" w:type="auto"/>
        <w:tblLook w:val="00A0" w:firstRow="1" w:lastRow="0" w:firstColumn="1" w:lastColumn="0" w:noHBand="0" w:noVBand="0"/>
      </w:tblPr>
      <w:tblGrid>
        <w:gridCol w:w="1841"/>
        <w:gridCol w:w="7395"/>
      </w:tblGrid>
      <w:tr w:rsidR="00A51B07" w:rsidRPr="00D959CB" w14:paraId="6840B2B5" w14:textId="77777777" w:rsidTr="005B7BB9">
        <w:trPr>
          <w:cantSplit/>
        </w:trPr>
        <w:tc>
          <w:tcPr>
            <w:tcW w:w="9236" w:type="dxa"/>
            <w:gridSpan w:val="2"/>
            <w:tcBorders>
              <w:bottom w:val="single" w:sz="4" w:space="0" w:color="auto"/>
            </w:tcBorders>
          </w:tcPr>
          <w:p w14:paraId="1100D6E4" w14:textId="5AA47D44" w:rsidR="00A51B07" w:rsidRPr="00D959CB" w:rsidRDefault="00A51B07" w:rsidP="00CD71AD">
            <w:pPr>
              <w:pStyle w:val="Caption"/>
            </w:pPr>
            <w:r w:rsidRPr="00D959CB">
              <w:t xml:space="preserve">Table </w:t>
            </w:r>
            <w:r>
              <w:fldChar w:fldCharType="begin"/>
            </w:r>
            <w:r>
              <w:instrText xml:space="preserve"> SEQ Table \* ARABIC </w:instrText>
            </w:r>
            <w:r>
              <w:fldChar w:fldCharType="separate"/>
            </w:r>
            <w:r w:rsidR="00C90DCF">
              <w:rPr>
                <w:noProof/>
              </w:rPr>
              <w:t>1</w:t>
            </w:r>
            <w:r>
              <w:fldChar w:fldCharType="end"/>
            </w:r>
            <w:r w:rsidRPr="00D959CB">
              <w:tab/>
            </w:r>
            <w:r w:rsidR="00CD71AD">
              <w:t>Load characteristics</w:t>
            </w:r>
            <w:r w:rsidRPr="00D959CB">
              <w:t xml:space="preserve"> calculations</w:t>
            </w:r>
            <w:r w:rsidR="00CD71AD">
              <w:t xml:space="preserve"> </w:t>
            </w:r>
            <w:r w:rsidR="00CD71AD" w:rsidRPr="00D959CB">
              <w:t>(</w:t>
            </w:r>
            <w:r w:rsidR="00CD71AD">
              <w:t>Multi</w:t>
            </w:r>
            <w:r w:rsidR="00CD71AD" w:rsidRPr="00D959CB">
              <w:t>)</w:t>
            </w:r>
          </w:p>
        </w:tc>
      </w:tr>
      <w:tr w:rsidR="005B7BB9" w:rsidRPr="00C530D0" w14:paraId="2A690D42" w14:textId="77777777" w:rsidTr="005B7BB9">
        <w:tblPrEx>
          <w:tblBorders>
            <w:top w:val="single" w:sz="4" w:space="0" w:color="auto"/>
            <w:bottom w:val="single" w:sz="4" w:space="0" w:color="auto"/>
          </w:tblBorders>
        </w:tblPrEx>
        <w:trPr>
          <w:cantSplit/>
        </w:trPr>
        <w:tc>
          <w:tcPr>
            <w:tcW w:w="1841" w:type="dxa"/>
          </w:tcPr>
          <w:p w14:paraId="7ABA2798" w14:textId="3EA27D5B" w:rsidR="005B7BB9" w:rsidRDefault="005B7BB9" w:rsidP="00826967">
            <w:pPr>
              <w:pStyle w:val="TableB"/>
            </w:pPr>
            <w:r w:rsidRPr="00C20AD8">
              <w:t>2401</w:t>
            </w:r>
          </w:p>
        </w:tc>
        <w:tc>
          <w:tcPr>
            <w:tcW w:w="7395" w:type="dxa"/>
          </w:tcPr>
          <w:p w14:paraId="4A162E96" w14:textId="77777777" w:rsidR="005B7BB9" w:rsidRPr="00826967" w:rsidRDefault="005B7BB9" w:rsidP="005B7BB9">
            <w:pPr>
              <w:pStyle w:val="TableB"/>
            </w:pPr>
            <w:r w:rsidRPr="00C20AD8">
              <w:t>Adjust annual hours by distribution time band to match days in year</w:t>
            </w:r>
          </w:p>
          <w:p w14:paraId="528DF125" w14:textId="603506B4" w:rsidR="005B7BB9" w:rsidRPr="00826967" w:rsidRDefault="005B7BB9" w:rsidP="005630B1">
            <w:pPr>
              <w:pStyle w:val="Table"/>
            </w:pPr>
            <w:r w:rsidRPr="00826967">
              <w:t>This adjusts the number of annual hours by distribution time band provided on the Input sheet to ensure that it agrees</w:t>
            </w:r>
            <w:r w:rsidR="005630B1">
              <w:t xml:space="preserve"> exactly</w:t>
            </w:r>
            <w:r w:rsidRPr="00826967">
              <w:t xml:space="preserve"> with the numb</w:t>
            </w:r>
            <w:r w:rsidR="005630B1">
              <w:t>er of days in the charging year.</w:t>
            </w:r>
          </w:p>
        </w:tc>
      </w:tr>
      <w:tr w:rsidR="005B7BB9" w:rsidRPr="00C530D0" w14:paraId="37623752" w14:textId="77777777" w:rsidTr="005B7BB9">
        <w:tblPrEx>
          <w:tblBorders>
            <w:top w:val="single" w:sz="4" w:space="0" w:color="auto"/>
            <w:bottom w:val="single" w:sz="4" w:space="0" w:color="auto"/>
          </w:tblBorders>
        </w:tblPrEx>
        <w:trPr>
          <w:cantSplit/>
        </w:trPr>
        <w:tc>
          <w:tcPr>
            <w:tcW w:w="1841" w:type="dxa"/>
          </w:tcPr>
          <w:p w14:paraId="14E42383" w14:textId="3B947DF2" w:rsidR="005B7BB9" w:rsidRDefault="005B7BB9" w:rsidP="00826967">
            <w:pPr>
              <w:pStyle w:val="TableB"/>
            </w:pPr>
            <w:r>
              <w:t>2402–2406</w:t>
            </w:r>
          </w:p>
        </w:tc>
        <w:tc>
          <w:tcPr>
            <w:tcW w:w="7395" w:type="dxa"/>
          </w:tcPr>
          <w:p w14:paraId="2FE774D6" w14:textId="3A26C391" w:rsidR="005B7BB9" w:rsidRPr="00826967" w:rsidRDefault="005B7BB9" w:rsidP="005B7BB9">
            <w:pPr>
              <w:pStyle w:val="TableB"/>
            </w:pPr>
            <w:r w:rsidRPr="00C20AD8">
              <w:t>Normalisation of split of rate 1</w:t>
            </w:r>
            <w:r w:rsidR="005630B1">
              <w:t>/2/3</w:t>
            </w:r>
            <w:r w:rsidRPr="00C20AD8">
              <w:t xml:space="preserve"> units by time band</w:t>
            </w:r>
            <w:r>
              <w:t xml:space="preserve">; </w:t>
            </w:r>
            <w:r w:rsidRPr="00C20AD8">
              <w:t>Split of rate 1</w:t>
            </w:r>
            <w:r w:rsidR="005630B1">
              <w:t>/2/3</w:t>
            </w:r>
            <w:r w:rsidRPr="00C20AD8">
              <w:t xml:space="preserve"> units between distribution time </w:t>
            </w:r>
            <w:r w:rsidRPr="00826967">
              <w:t>bands</w:t>
            </w:r>
          </w:p>
          <w:p w14:paraId="0F332013" w14:textId="460D6295" w:rsidR="005B7BB9" w:rsidRPr="00826967" w:rsidRDefault="005B7BB9" w:rsidP="00B6300E">
            <w:pPr>
              <w:pStyle w:val="Table"/>
            </w:pPr>
            <w:r w:rsidRPr="00826967">
              <w:t xml:space="preserve">These tables combine data for non half hourly metered and half hourly metered tariffs in order to construct a consolidated table of the proportion of consumption under each tariff and unit rate which falls within each distribution time band. Values are normalised to add up to 100 per cent </w:t>
            </w:r>
            <w:r w:rsidR="005630B1">
              <w:t>(there might be legitimate differences due to rounding, for example)</w:t>
            </w:r>
            <w:r w:rsidRPr="00826967">
              <w:t>.</w:t>
            </w:r>
          </w:p>
        </w:tc>
      </w:tr>
      <w:tr w:rsidR="005B7BB9" w:rsidRPr="00C530D0" w14:paraId="0E00C249" w14:textId="77777777" w:rsidTr="005B7BB9">
        <w:tblPrEx>
          <w:tblBorders>
            <w:top w:val="single" w:sz="4" w:space="0" w:color="auto"/>
            <w:bottom w:val="single" w:sz="4" w:space="0" w:color="auto"/>
          </w:tblBorders>
        </w:tblPrEx>
        <w:trPr>
          <w:cantSplit/>
        </w:trPr>
        <w:tc>
          <w:tcPr>
            <w:tcW w:w="1841" w:type="dxa"/>
          </w:tcPr>
          <w:p w14:paraId="6C79116E" w14:textId="09B4C3FB" w:rsidR="005B7BB9" w:rsidRPr="00C20AD8" w:rsidRDefault="005B7BB9" w:rsidP="00826967">
            <w:pPr>
              <w:pStyle w:val="TableB"/>
            </w:pPr>
            <w:r w:rsidRPr="00216E7E">
              <w:t>2407</w:t>
            </w:r>
          </w:p>
        </w:tc>
        <w:tc>
          <w:tcPr>
            <w:tcW w:w="7395" w:type="dxa"/>
          </w:tcPr>
          <w:p w14:paraId="489EB66C" w14:textId="77777777" w:rsidR="005B7BB9" w:rsidRDefault="005B7BB9" w:rsidP="00826967">
            <w:pPr>
              <w:pStyle w:val="TableB"/>
            </w:pPr>
            <w:r w:rsidRPr="00216E7E">
              <w:t>All units (</w:t>
            </w:r>
            <w:proofErr w:type="spellStart"/>
            <w:r w:rsidRPr="00216E7E">
              <w:t>MWh</w:t>
            </w:r>
            <w:proofErr w:type="spellEnd"/>
            <w:r w:rsidRPr="00216E7E">
              <w:t>)</w:t>
            </w:r>
          </w:p>
          <w:p w14:paraId="7B9E9681" w14:textId="0BC9334A" w:rsidR="005630B1" w:rsidRPr="005630B1" w:rsidRDefault="005630B1" w:rsidP="005630B1">
            <w:pPr>
              <w:pStyle w:val="Table"/>
            </w:pPr>
            <w:r w:rsidRPr="00A47B73">
              <w:t>This calculates the total number of units for each tariff.</w:t>
            </w:r>
          </w:p>
        </w:tc>
      </w:tr>
      <w:tr w:rsidR="005630B1" w:rsidRPr="00A47B73" w14:paraId="16B47AD5" w14:textId="77777777" w:rsidTr="005630B1">
        <w:tblPrEx>
          <w:tblBorders>
            <w:top w:val="single" w:sz="4" w:space="0" w:color="auto"/>
            <w:bottom w:val="single" w:sz="4" w:space="0" w:color="auto"/>
          </w:tblBorders>
        </w:tblPrEx>
        <w:trPr>
          <w:cantSplit/>
        </w:trPr>
        <w:tc>
          <w:tcPr>
            <w:tcW w:w="1841" w:type="dxa"/>
          </w:tcPr>
          <w:p w14:paraId="01AECB64" w14:textId="13AB32A0" w:rsidR="005630B1" w:rsidRPr="00A47B73" w:rsidRDefault="005630B1" w:rsidP="005630B1">
            <w:pPr>
              <w:pStyle w:val="TableB"/>
            </w:pPr>
            <w:r w:rsidRPr="00A47B73">
              <w:t>2408–</w:t>
            </w:r>
            <w:r w:rsidRPr="00A47B73">
              <w:br/>
              <w:t>24</w:t>
            </w:r>
            <w:r>
              <w:t>10</w:t>
            </w:r>
          </w:p>
        </w:tc>
        <w:tc>
          <w:tcPr>
            <w:tcW w:w="7395" w:type="dxa"/>
          </w:tcPr>
          <w:p w14:paraId="29BD6045" w14:textId="29C1E4B7" w:rsidR="005630B1" w:rsidRPr="00A47B73" w:rsidRDefault="005630B1" w:rsidP="005630B1">
            <w:pPr>
              <w:pStyle w:val="TableB"/>
            </w:pPr>
            <w:r w:rsidRPr="00A47B73">
              <w:t xml:space="preserve">Calculation of implied load coefficients for </w:t>
            </w:r>
            <w:r>
              <w:t>one/</w:t>
            </w:r>
            <w:r w:rsidRPr="00A47B73">
              <w:t>two/three-rate users</w:t>
            </w:r>
          </w:p>
          <w:p w14:paraId="6122FF99" w14:textId="77777777" w:rsidR="005630B1" w:rsidRPr="00A47B73" w:rsidRDefault="005630B1" w:rsidP="005630B1">
            <w:pPr>
              <w:pStyle w:val="Table"/>
            </w:pPr>
            <w:r w:rsidRPr="005630B1">
              <w:t>These tables calculate implied load coefficients from the distribution of units between time bands, if there were no correlation between user and system peaking within each distribution time band.  This assumes that the time of system peak is always in the red time band.</w:t>
            </w:r>
          </w:p>
        </w:tc>
      </w:tr>
      <w:tr w:rsidR="005630B1" w:rsidRPr="00C530D0" w14:paraId="4094B901" w14:textId="77777777" w:rsidTr="005630B1">
        <w:tblPrEx>
          <w:tblBorders>
            <w:top w:val="single" w:sz="4" w:space="0" w:color="auto"/>
            <w:bottom w:val="single" w:sz="4" w:space="0" w:color="auto"/>
          </w:tblBorders>
        </w:tblPrEx>
        <w:trPr>
          <w:cantSplit/>
        </w:trPr>
        <w:tc>
          <w:tcPr>
            <w:tcW w:w="1841" w:type="dxa"/>
          </w:tcPr>
          <w:p w14:paraId="69712C5E" w14:textId="77777777" w:rsidR="005630B1" w:rsidRPr="000F6AAF" w:rsidRDefault="005630B1" w:rsidP="005630B1">
            <w:pPr>
              <w:pStyle w:val="TableB"/>
            </w:pPr>
            <w:r w:rsidRPr="00216E7E">
              <w:t>2411</w:t>
            </w:r>
          </w:p>
        </w:tc>
        <w:tc>
          <w:tcPr>
            <w:tcW w:w="7395" w:type="dxa"/>
          </w:tcPr>
          <w:p w14:paraId="35C00E9B" w14:textId="77777777" w:rsidR="005630B1" w:rsidRPr="005630B1" w:rsidRDefault="005630B1" w:rsidP="005630B1">
            <w:pPr>
              <w:pStyle w:val="TableB"/>
            </w:pPr>
            <w:r w:rsidRPr="005630B1">
              <w:t>Calculation of adjusted time band load coefficients</w:t>
            </w:r>
          </w:p>
          <w:p w14:paraId="23FD1ED6" w14:textId="77777777" w:rsidR="005630B1" w:rsidRPr="000F6AAF" w:rsidRDefault="005630B1" w:rsidP="005630B1">
            <w:pPr>
              <w:pStyle w:val="Table"/>
            </w:pPr>
            <w:r w:rsidRPr="005630B1">
              <w:t>This calculates the factor that needs to be applied to reconcile implied load coefficients (from above) with actual load coefficients (from the Loads sheet).</w:t>
            </w:r>
          </w:p>
        </w:tc>
      </w:tr>
      <w:tr w:rsidR="005630B1" w:rsidRPr="00A47B73" w14:paraId="5A516812" w14:textId="77777777" w:rsidTr="005630B1">
        <w:tblPrEx>
          <w:tblBorders>
            <w:top w:val="single" w:sz="4" w:space="0" w:color="auto"/>
            <w:bottom w:val="single" w:sz="4" w:space="0" w:color="auto"/>
          </w:tblBorders>
        </w:tblPrEx>
        <w:trPr>
          <w:cantSplit/>
        </w:trPr>
        <w:tc>
          <w:tcPr>
            <w:tcW w:w="1841" w:type="dxa"/>
          </w:tcPr>
          <w:p w14:paraId="116D0781" w14:textId="6E089062" w:rsidR="005630B1" w:rsidRPr="00A47B73" w:rsidRDefault="005630B1" w:rsidP="005630B1">
            <w:pPr>
              <w:pStyle w:val="TableB"/>
            </w:pPr>
            <w:r>
              <w:t>2412</w:t>
            </w:r>
            <w:r w:rsidRPr="00A47B73">
              <w:t>–241</w:t>
            </w:r>
            <w:r>
              <w:t>3</w:t>
            </w:r>
          </w:p>
        </w:tc>
        <w:tc>
          <w:tcPr>
            <w:tcW w:w="7395" w:type="dxa"/>
          </w:tcPr>
          <w:p w14:paraId="1EC58E9F" w14:textId="77777777" w:rsidR="005630B1" w:rsidRPr="00A47B73" w:rsidRDefault="005630B1" w:rsidP="005630B1">
            <w:pPr>
              <w:pStyle w:val="TableB"/>
            </w:pPr>
            <w:r w:rsidRPr="005C40DD">
              <w:t xml:space="preserve">Normalisation of peaking probabilities; </w:t>
            </w:r>
            <w:r w:rsidRPr="00A47B73">
              <w:t xml:space="preserve">peaking probabilities by network level (reshaped) </w:t>
            </w:r>
          </w:p>
          <w:p w14:paraId="1BFD2A6D" w14:textId="77777777" w:rsidR="005630B1" w:rsidRPr="005630B1" w:rsidRDefault="005630B1" w:rsidP="005630B1">
            <w:pPr>
              <w:pStyle w:val="Table"/>
            </w:pPr>
            <w:r w:rsidRPr="005630B1">
              <w:t>This table copies the peaking probability data provided by the user, normalising the probabilities so that they add up to 100 per cent where they should, and reshaping it to match the structure of the calculations on the Multi sheet.</w:t>
            </w:r>
          </w:p>
        </w:tc>
      </w:tr>
      <w:tr w:rsidR="005B7BB9" w:rsidRPr="00C530D0" w14:paraId="52923D14" w14:textId="77777777" w:rsidTr="005B7BB9">
        <w:tblPrEx>
          <w:tblBorders>
            <w:top w:val="single" w:sz="4" w:space="0" w:color="auto"/>
            <w:bottom w:val="single" w:sz="4" w:space="0" w:color="auto"/>
          </w:tblBorders>
        </w:tblPrEx>
        <w:trPr>
          <w:cantSplit/>
        </w:trPr>
        <w:tc>
          <w:tcPr>
            <w:tcW w:w="1841" w:type="dxa"/>
          </w:tcPr>
          <w:p w14:paraId="7109F172" w14:textId="38750F7F" w:rsidR="005B7BB9" w:rsidRPr="000F6AAF" w:rsidRDefault="005B7BB9" w:rsidP="00826967">
            <w:pPr>
              <w:pStyle w:val="TableB"/>
            </w:pPr>
            <w:r w:rsidRPr="00216E7E">
              <w:t>2414</w:t>
            </w:r>
          </w:p>
        </w:tc>
        <w:tc>
          <w:tcPr>
            <w:tcW w:w="7395" w:type="dxa"/>
          </w:tcPr>
          <w:p w14:paraId="038EF662" w14:textId="77777777" w:rsidR="005630B1" w:rsidRPr="00A47B73" w:rsidRDefault="005630B1" w:rsidP="005630B1">
            <w:pPr>
              <w:pStyle w:val="TableB"/>
            </w:pPr>
            <w:r w:rsidRPr="00A47B73">
              <w:t>Pseudo load coefficient by time band and network level</w:t>
            </w:r>
          </w:p>
          <w:p w14:paraId="2580A04C" w14:textId="1E8EBB29" w:rsidR="005B7BB9" w:rsidRPr="000F6AAF" w:rsidRDefault="005630B1" w:rsidP="005630B1">
            <w:pPr>
              <w:pStyle w:val="Table"/>
            </w:pPr>
            <w:r>
              <w:t>This is, before the equalisation process,</w:t>
            </w:r>
            <w:r w:rsidRPr="005630B1">
              <w:t xml:space="preserve"> what would be used instead of the coincidence factor to load factor ratio to calculate contributions of each network level to charges within each distribution time band.</w:t>
            </w:r>
          </w:p>
        </w:tc>
      </w:tr>
      <w:tr w:rsidR="005B7BB9" w:rsidRPr="00C530D0" w14:paraId="561604E3" w14:textId="77777777" w:rsidTr="005B7BB9">
        <w:tblPrEx>
          <w:tblBorders>
            <w:top w:val="single" w:sz="4" w:space="0" w:color="auto"/>
            <w:bottom w:val="single" w:sz="4" w:space="0" w:color="auto"/>
          </w:tblBorders>
        </w:tblPrEx>
        <w:trPr>
          <w:cantSplit/>
        </w:trPr>
        <w:tc>
          <w:tcPr>
            <w:tcW w:w="1841" w:type="dxa"/>
          </w:tcPr>
          <w:p w14:paraId="250C8F41" w14:textId="2CFC11F1" w:rsidR="005B7BB9" w:rsidRPr="000F6AAF" w:rsidRDefault="005B7BB9" w:rsidP="00826967">
            <w:pPr>
              <w:pStyle w:val="TableB"/>
            </w:pPr>
            <w:r w:rsidRPr="00216E7E">
              <w:t>2415</w:t>
            </w:r>
          </w:p>
        </w:tc>
        <w:tc>
          <w:tcPr>
            <w:tcW w:w="7395" w:type="dxa"/>
          </w:tcPr>
          <w:p w14:paraId="69B54299" w14:textId="77777777" w:rsidR="005B7BB9" w:rsidRDefault="005B7BB9" w:rsidP="00826967">
            <w:pPr>
              <w:pStyle w:val="TableB"/>
            </w:pPr>
            <w:r w:rsidRPr="00216E7E">
              <w:t xml:space="preserve">Aggregated half hourly pseudo </w:t>
            </w:r>
            <w:proofErr w:type="spellStart"/>
            <w:r w:rsidRPr="00216E7E">
              <w:t>timeband</w:t>
            </w:r>
            <w:proofErr w:type="spellEnd"/>
            <w:r w:rsidRPr="00216E7E">
              <w:t xml:space="preserve"> load coefficients</w:t>
            </w:r>
          </w:p>
          <w:p w14:paraId="6DE06F2D" w14:textId="5921A4CE" w:rsidR="00302E67" w:rsidRPr="00302E67" w:rsidRDefault="00302E67" w:rsidP="00ED64B9">
            <w:pPr>
              <w:pStyle w:val="Table"/>
            </w:pPr>
            <w:r>
              <w:t xml:space="preserve">This extracts the pseudo </w:t>
            </w:r>
            <w:r w:rsidRPr="00A47B73">
              <w:t>load coefficient by time band and network level</w:t>
            </w:r>
            <w:r>
              <w:t xml:space="preserve"> relevant to </w:t>
            </w:r>
            <w:r w:rsidR="00ED64B9">
              <w:t>each aggregated half hourly tariff</w:t>
            </w:r>
            <w:r>
              <w:t xml:space="preserve"> subject to the equalisation process.</w:t>
            </w:r>
          </w:p>
        </w:tc>
      </w:tr>
      <w:tr w:rsidR="005B7BB9" w:rsidRPr="00C530D0" w14:paraId="3BE32B95" w14:textId="77777777" w:rsidTr="005B7BB9">
        <w:tblPrEx>
          <w:tblBorders>
            <w:top w:val="single" w:sz="4" w:space="0" w:color="auto"/>
            <w:bottom w:val="single" w:sz="4" w:space="0" w:color="auto"/>
          </w:tblBorders>
        </w:tblPrEx>
        <w:trPr>
          <w:cantSplit/>
        </w:trPr>
        <w:tc>
          <w:tcPr>
            <w:tcW w:w="1841" w:type="dxa"/>
          </w:tcPr>
          <w:p w14:paraId="5E8B6C1D" w14:textId="64B9EE77" w:rsidR="005B7BB9" w:rsidRPr="000F6AAF" w:rsidRDefault="005B7BB9" w:rsidP="00826967">
            <w:pPr>
              <w:pStyle w:val="TableB"/>
            </w:pPr>
            <w:r w:rsidRPr="00216E7E">
              <w:lastRenderedPageBreak/>
              <w:t>2416</w:t>
            </w:r>
            <w:r w:rsidR="00ED64B9">
              <w:t>–</w:t>
            </w:r>
            <w:r w:rsidR="00ED64B9" w:rsidRPr="00216E7E">
              <w:t>24</w:t>
            </w:r>
            <w:r w:rsidR="00ED64B9">
              <w:t>21</w:t>
            </w:r>
          </w:p>
        </w:tc>
        <w:tc>
          <w:tcPr>
            <w:tcW w:w="7395" w:type="dxa"/>
          </w:tcPr>
          <w:p w14:paraId="0C95E4DC" w14:textId="53BEEAAE" w:rsidR="005B7BB9" w:rsidRDefault="005B7BB9" w:rsidP="00826967">
            <w:pPr>
              <w:pStyle w:val="TableB"/>
            </w:pPr>
            <w:r w:rsidRPr="00216E7E">
              <w:t>Off-peak non half hourly units (</w:t>
            </w:r>
            <w:proofErr w:type="spellStart"/>
            <w:r w:rsidRPr="00216E7E">
              <w:t>MWh</w:t>
            </w:r>
            <w:proofErr w:type="spellEnd"/>
            <w:r w:rsidRPr="00216E7E">
              <w:t>)</w:t>
            </w:r>
            <w:r w:rsidR="00ED64B9">
              <w:t xml:space="preserve">; </w:t>
            </w:r>
            <w:r w:rsidR="00ED64B9" w:rsidRPr="00216E7E">
              <w:t xml:space="preserve">Off-peak non half hourly </w:t>
            </w:r>
            <w:proofErr w:type="spellStart"/>
            <w:r w:rsidR="00ED64B9" w:rsidRPr="00216E7E">
              <w:t>timeband</w:t>
            </w:r>
            <w:proofErr w:type="spellEnd"/>
            <w:r w:rsidR="00ED64B9" w:rsidRPr="00216E7E">
              <w:t xml:space="preserve"> use</w:t>
            </w:r>
            <w:r w:rsidR="00ED64B9">
              <w:t xml:space="preserve">; </w:t>
            </w:r>
            <w:r w:rsidR="00ED64B9" w:rsidRPr="00216E7E">
              <w:t>Multi rate non half hourly units (</w:t>
            </w:r>
            <w:proofErr w:type="spellStart"/>
            <w:r w:rsidR="00ED64B9" w:rsidRPr="00216E7E">
              <w:t>MWh</w:t>
            </w:r>
            <w:proofErr w:type="spellEnd"/>
            <w:r w:rsidR="00ED64B9" w:rsidRPr="00216E7E">
              <w:t>)</w:t>
            </w:r>
            <w:r w:rsidR="00ED64B9">
              <w:t xml:space="preserve">; </w:t>
            </w:r>
            <w:r w:rsidR="00ED64B9" w:rsidRPr="00216E7E">
              <w:t xml:space="preserve">Single rate non half hourly </w:t>
            </w:r>
            <w:proofErr w:type="spellStart"/>
            <w:r w:rsidR="00ED64B9" w:rsidRPr="00216E7E">
              <w:t>timeband</w:t>
            </w:r>
            <w:proofErr w:type="spellEnd"/>
            <w:r w:rsidR="00ED64B9" w:rsidRPr="00216E7E">
              <w:t xml:space="preserve"> use</w:t>
            </w:r>
            <w:r w:rsidR="00ED64B9">
              <w:t xml:space="preserve">; </w:t>
            </w:r>
            <w:r w:rsidR="00ED64B9" w:rsidRPr="00216E7E">
              <w:t>Single rate non half hourly units (</w:t>
            </w:r>
            <w:proofErr w:type="spellStart"/>
            <w:r w:rsidR="00ED64B9" w:rsidRPr="00216E7E">
              <w:t>MWh</w:t>
            </w:r>
            <w:proofErr w:type="spellEnd"/>
            <w:r w:rsidR="00ED64B9" w:rsidRPr="00216E7E">
              <w:t>)</w:t>
            </w:r>
            <w:r w:rsidR="00ED64B9">
              <w:t xml:space="preserve">; </w:t>
            </w:r>
            <w:r w:rsidR="00ED64B9" w:rsidRPr="00216E7E">
              <w:t xml:space="preserve">Multi rate non half hourly </w:t>
            </w:r>
            <w:proofErr w:type="spellStart"/>
            <w:r w:rsidR="00ED64B9" w:rsidRPr="00216E7E">
              <w:t>timeband</w:t>
            </w:r>
            <w:proofErr w:type="spellEnd"/>
            <w:r w:rsidR="00ED64B9" w:rsidRPr="00216E7E">
              <w:t xml:space="preserve"> use</w:t>
            </w:r>
          </w:p>
          <w:p w14:paraId="25BF6DC7" w14:textId="7C201E3B" w:rsidR="00ED64B9" w:rsidRPr="00ED64B9" w:rsidRDefault="00ED64B9" w:rsidP="00ED64B9">
            <w:pPr>
              <w:pStyle w:val="Table"/>
            </w:pPr>
            <w:r>
              <w:t xml:space="preserve">These tables extract data for each </w:t>
            </w:r>
            <w:proofErr w:type="gramStart"/>
            <w:r w:rsidR="00904928">
              <w:t>non half</w:t>
            </w:r>
            <w:proofErr w:type="gramEnd"/>
            <w:r w:rsidR="00904928">
              <w:t xml:space="preserve"> </w:t>
            </w:r>
            <w:r>
              <w:t xml:space="preserve">hourly off-peak tariff, each </w:t>
            </w:r>
            <w:r w:rsidR="00904928">
              <w:t xml:space="preserve">non half </w:t>
            </w:r>
            <w:r>
              <w:t xml:space="preserve">hourly two-rate tariff and each </w:t>
            </w:r>
            <w:r w:rsidR="00904928">
              <w:t xml:space="preserve">non half </w:t>
            </w:r>
            <w:r>
              <w:t>hourly unrestricted tariff subject to the equalisation process.</w:t>
            </w:r>
          </w:p>
        </w:tc>
      </w:tr>
      <w:tr w:rsidR="005B7BB9" w:rsidRPr="00C530D0" w14:paraId="2D4DDA94" w14:textId="77777777" w:rsidTr="005B7BB9">
        <w:tblPrEx>
          <w:tblBorders>
            <w:top w:val="single" w:sz="4" w:space="0" w:color="auto"/>
            <w:bottom w:val="single" w:sz="4" w:space="0" w:color="auto"/>
          </w:tblBorders>
        </w:tblPrEx>
        <w:trPr>
          <w:cantSplit/>
        </w:trPr>
        <w:tc>
          <w:tcPr>
            <w:tcW w:w="1841" w:type="dxa"/>
          </w:tcPr>
          <w:p w14:paraId="2B8754B6" w14:textId="27F28E51" w:rsidR="005B7BB9" w:rsidRPr="000F6AAF" w:rsidRDefault="005B7BB9" w:rsidP="00826967">
            <w:pPr>
              <w:pStyle w:val="TableB"/>
            </w:pPr>
            <w:r w:rsidRPr="00216E7E">
              <w:t>2422</w:t>
            </w:r>
          </w:p>
        </w:tc>
        <w:tc>
          <w:tcPr>
            <w:tcW w:w="7395" w:type="dxa"/>
          </w:tcPr>
          <w:p w14:paraId="5E3DF2A5" w14:textId="77777777" w:rsidR="005B7BB9" w:rsidRDefault="005B7BB9" w:rsidP="00826967">
            <w:pPr>
              <w:pStyle w:val="TableB"/>
            </w:pPr>
            <w:r w:rsidRPr="00216E7E">
              <w:t xml:space="preserve">Average non half hourly </w:t>
            </w:r>
            <w:proofErr w:type="spellStart"/>
            <w:r w:rsidRPr="00216E7E">
              <w:t>timeband</w:t>
            </w:r>
            <w:proofErr w:type="spellEnd"/>
            <w:r w:rsidRPr="00216E7E">
              <w:t xml:space="preserve"> use</w:t>
            </w:r>
          </w:p>
          <w:p w14:paraId="01C99460" w14:textId="3AE3846A" w:rsidR="00ED64B9" w:rsidRPr="00ED64B9" w:rsidRDefault="00ED64B9" w:rsidP="00ED64B9">
            <w:pPr>
              <w:pStyle w:val="Table"/>
            </w:pPr>
            <w:r>
              <w:t xml:space="preserve">This calculates the deemed use of the red amber and green </w:t>
            </w:r>
            <w:proofErr w:type="spellStart"/>
            <w:r>
              <w:t>timebands</w:t>
            </w:r>
            <w:proofErr w:type="spellEnd"/>
            <w:r>
              <w:t xml:space="preserve"> by consumption across each category of </w:t>
            </w:r>
            <w:proofErr w:type="gramStart"/>
            <w:r w:rsidR="00904928">
              <w:t>non half</w:t>
            </w:r>
            <w:proofErr w:type="gramEnd"/>
            <w:r w:rsidR="00904928">
              <w:t xml:space="preserve"> </w:t>
            </w:r>
            <w:r>
              <w:t>hourly tariffs subject to the equalisation process.</w:t>
            </w:r>
          </w:p>
        </w:tc>
      </w:tr>
      <w:tr w:rsidR="005B7BB9" w:rsidRPr="00C530D0" w14:paraId="0BAC294C" w14:textId="77777777" w:rsidTr="005B7BB9">
        <w:tblPrEx>
          <w:tblBorders>
            <w:top w:val="single" w:sz="4" w:space="0" w:color="auto"/>
            <w:bottom w:val="single" w:sz="4" w:space="0" w:color="auto"/>
          </w:tblBorders>
        </w:tblPrEx>
        <w:trPr>
          <w:cantSplit/>
        </w:trPr>
        <w:tc>
          <w:tcPr>
            <w:tcW w:w="1841" w:type="dxa"/>
          </w:tcPr>
          <w:p w14:paraId="48CE3843" w14:textId="6560B6FC" w:rsidR="005B7BB9" w:rsidRPr="000F6AAF" w:rsidRDefault="005B7BB9" w:rsidP="00826967">
            <w:pPr>
              <w:pStyle w:val="TableB"/>
            </w:pPr>
            <w:r w:rsidRPr="00216E7E">
              <w:t>2423</w:t>
            </w:r>
          </w:p>
        </w:tc>
        <w:tc>
          <w:tcPr>
            <w:tcW w:w="7395" w:type="dxa"/>
          </w:tcPr>
          <w:p w14:paraId="78ECBA7E" w14:textId="77777777" w:rsidR="005B7BB9" w:rsidRDefault="005B7BB9" w:rsidP="00826967">
            <w:pPr>
              <w:pStyle w:val="TableB"/>
            </w:pPr>
            <w:r w:rsidRPr="00216E7E">
              <w:t>Aggregated half hourly tariff pseudo load coefficient using average non half hourly unit mix</w:t>
            </w:r>
          </w:p>
          <w:p w14:paraId="2A514AB7" w14:textId="11377650" w:rsidR="00ED64B9" w:rsidRPr="00ED64B9" w:rsidRDefault="00ED64B9" w:rsidP="00ED64B9">
            <w:pPr>
              <w:pStyle w:val="Table"/>
            </w:pPr>
            <w:r>
              <w:t xml:space="preserve">This applies the pseudo load coefficients from table 2415 to the consumption pattern from table 2422.  The result reflects the network capacity and charges that would be attributed to the </w:t>
            </w:r>
            <w:proofErr w:type="gramStart"/>
            <w:r>
              <w:t>non half</w:t>
            </w:r>
            <w:proofErr w:type="gramEnd"/>
            <w:r>
              <w:t xml:space="preserve"> hourly average load if it was on the aggregated half hourly tariff before equalisation.</w:t>
            </w:r>
          </w:p>
        </w:tc>
      </w:tr>
      <w:tr w:rsidR="005B7BB9" w:rsidRPr="00C530D0" w14:paraId="0046E6B5" w14:textId="77777777" w:rsidTr="005B7BB9">
        <w:tblPrEx>
          <w:tblBorders>
            <w:top w:val="single" w:sz="4" w:space="0" w:color="auto"/>
            <w:bottom w:val="single" w:sz="4" w:space="0" w:color="auto"/>
          </w:tblBorders>
        </w:tblPrEx>
        <w:trPr>
          <w:cantSplit/>
        </w:trPr>
        <w:tc>
          <w:tcPr>
            <w:tcW w:w="1841" w:type="dxa"/>
          </w:tcPr>
          <w:p w14:paraId="4E8027D6" w14:textId="76FA822D" w:rsidR="005B7BB9" w:rsidRPr="000F6AAF" w:rsidRDefault="005B7BB9" w:rsidP="00826967">
            <w:pPr>
              <w:pStyle w:val="TableB"/>
            </w:pPr>
            <w:r w:rsidRPr="00216E7E">
              <w:t>2424</w:t>
            </w:r>
            <w:r w:rsidR="00ED64B9">
              <w:t>–2428</w:t>
            </w:r>
          </w:p>
        </w:tc>
        <w:tc>
          <w:tcPr>
            <w:tcW w:w="7395" w:type="dxa"/>
          </w:tcPr>
          <w:p w14:paraId="539A5A3B" w14:textId="77777777" w:rsidR="005B7BB9" w:rsidRDefault="005B7BB9" w:rsidP="00826967">
            <w:pPr>
              <w:pStyle w:val="TableB"/>
            </w:pPr>
            <w:r w:rsidRPr="00216E7E">
              <w:t xml:space="preserve">Off-peak non half hourly pseudo </w:t>
            </w:r>
            <w:proofErr w:type="spellStart"/>
            <w:r w:rsidRPr="00216E7E">
              <w:t>timeband</w:t>
            </w:r>
            <w:proofErr w:type="spellEnd"/>
            <w:r w:rsidRPr="00216E7E">
              <w:t xml:space="preserve"> load coefficients</w:t>
            </w:r>
            <w:r w:rsidR="00ED64B9">
              <w:t>;</w:t>
            </w:r>
            <w:r w:rsidR="00ED64B9" w:rsidRPr="00216E7E">
              <w:t xml:space="preserve"> Off-peak non half hourly tariff pseudo load coefficient</w:t>
            </w:r>
            <w:r w:rsidR="00ED64B9">
              <w:t>;</w:t>
            </w:r>
            <w:r w:rsidR="00ED64B9" w:rsidRPr="00216E7E">
              <w:t xml:space="preserve"> Single rate non half hourly tariff load coefficient</w:t>
            </w:r>
            <w:r w:rsidR="00ED64B9">
              <w:t>;</w:t>
            </w:r>
            <w:r w:rsidR="00ED64B9" w:rsidRPr="00216E7E">
              <w:t xml:space="preserve"> Multi rate non half hourly pseudo </w:t>
            </w:r>
            <w:proofErr w:type="spellStart"/>
            <w:r w:rsidR="00ED64B9" w:rsidRPr="00216E7E">
              <w:t>timeband</w:t>
            </w:r>
            <w:proofErr w:type="spellEnd"/>
            <w:r w:rsidR="00ED64B9" w:rsidRPr="00216E7E">
              <w:t xml:space="preserve"> load coefficients</w:t>
            </w:r>
            <w:r w:rsidR="00ED64B9">
              <w:t>;</w:t>
            </w:r>
            <w:r w:rsidR="00ED64B9" w:rsidRPr="00216E7E">
              <w:t xml:space="preserve"> Multi rate non half hourly tariff pseudo load coefficient</w:t>
            </w:r>
          </w:p>
          <w:p w14:paraId="25852771" w14:textId="11546EDB" w:rsidR="00ED64B9" w:rsidRPr="00ED64B9" w:rsidRDefault="00ED64B9" w:rsidP="00ED64B9">
            <w:pPr>
              <w:pStyle w:val="Table"/>
            </w:pPr>
            <w:r>
              <w:t xml:space="preserve">These tables calculate the network capacity and charges that would be attributed to relevant </w:t>
            </w:r>
            <w:proofErr w:type="gramStart"/>
            <w:r>
              <w:t>non half</w:t>
            </w:r>
            <w:proofErr w:type="gramEnd"/>
            <w:r>
              <w:t xml:space="preserve"> hourly loads before equalisation.</w:t>
            </w:r>
          </w:p>
        </w:tc>
      </w:tr>
      <w:tr w:rsidR="005B7BB9" w:rsidRPr="00C530D0" w14:paraId="7DC92A60" w14:textId="77777777" w:rsidTr="005B7BB9">
        <w:tblPrEx>
          <w:tblBorders>
            <w:top w:val="single" w:sz="4" w:space="0" w:color="auto"/>
            <w:bottom w:val="single" w:sz="4" w:space="0" w:color="auto"/>
          </w:tblBorders>
        </w:tblPrEx>
        <w:trPr>
          <w:cantSplit/>
        </w:trPr>
        <w:tc>
          <w:tcPr>
            <w:tcW w:w="1841" w:type="dxa"/>
          </w:tcPr>
          <w:p w14:paraId="3BEB7958" w14:textId="571EDCA4" w:rsidR="005B7BB9" w:rsidRPr="000F6AAF" w:rsidRDefault="005B7BB9" w:rsidP="00826967">
            <w:pPr>
              <w:pStyle w:val="TableB"/>
            </w:pPr>
            <w:r w:rsidRPr="00216E7E">
              <w:t>2429</w:t>
            </w:r>
          </w:p>
        </w:tc>
        <w:tc>
          <w:tcPr>
            <w:tcW w:w="7395" w:type="dxa"/>
          </w:tcPr>
          <w:p w14:paraId="6F2D738A" w14:textId="77777777" w:rsidR="005B7BB9" w:rsidRDefault="005B7BB9" w:rsidP="00826967">
            <w:pPr>
              <w:pStyle w:val="TableB"/>
            </w:pPr>
            <w:r w:rsidRPr="00216E7E">
              <w:t>Average non half hourly tariff pseudo load coefficient</w:t>
            </w:r>
          </w:p>
          <w:p w14:paraId="539B0986" w14:textId="3B4992D7" w:rsidR="00ED64B9" w:rsidRPr="00ED64B9" w:rsidRDefault="00ED64B9" w:rsidP="00ED64B9">
            <w:pPr>
              <w:pStyle w:val="Table"/>
            </w:pPr>
            <w:r>
              <w:t xml:space="preserve">This calculates the average network capacity and charges that would be attributed, on average, to </w:t>
            </w:r>
            <w:proofErr w:type="gramStart"/>
            <w:r>
              <w:t>non half</w:t>
            </w:r>
            <w:proofErr w:type="gramEnd"/>
            <w:r>
              <w:t xml:space="preserve"> hourly average loads on the non half hourly tariffs before equalisation.</w:t>
            </w:r>
          </w:p>
        </w:tc>
      </w:tr>
      <w:tr w:rsidR="005B7BB9" w:rsidRPr="00C530D0" w14:paraId="5B20708C" w14:textId="77777777" w:rsidTr="005B7BB9">
        <w:tblPrEx>
          <w:tblBorders>
            <w:top w:val="single" w:sz="4" w:space="0" w:color="auto"/>
            <w:bottom w:val="single" w:sz="4" w:space="0" w:color="auto"/>
          </w:tblBorders>
        </w:tblPrEx>
        <w:trPr>
          <w:cantSplit/>
        </w:trPr>
        <w:tc>
          <w:tcPr>
            <w:tcW w:w="1841" w:type="dxa"/>
          </w:tcPr>
          <w:p w14:paraId="1B9BEC76" w14:textId="59EACA99" w:rsidR="005B7BB9" w:rsidRPr="000F6AAF" w:rsidRDefault="005B7BB9" w:rsidP="00826967">
            <w:pPr>
              <w:pStyle w:val="TableB"/>
            </w:pPr>
            <w:r w:rsidRPr="00216E7E">
              <w:t>2430</w:t>
            </w:r>
          </w:p>
        </w:tc>
        <w:tc>
          <w:tcPr>
            <w:tcW w:w="7395" w:type="dxa"/>
          </w:tcPr>
          <w:p w14:paraId="109320BE" w14:textId="77777777" w:rsidR="005B7BB9" w:rsidRDefault="005B7BB9" w:rsidP="00826967">
            <w:pPr>
              <w:pStyle w:val="TableB"/>
            </w:pPr>
            <w:r w:rsidRPr="00216E7E">
              <w:t>Relative correction factor for aggregated half hourly tariff</w:t>
            </w:r>
          </w:p>
          <w:p w14:paraId="47CB3E43" w14:textId="72A2999B" w:rsidR="00ED64B9" w:rsidRPr="00ED64B9" w:rsidRDefault="00ED64B9" w:rsidP="00ED64B9">
            <w:pPr>
              <w:pStyle w:val="Table"/>
            </w:pPr>
            <w:r>
              <w:t xml:space="preserve">These are the main equalisation factors, raising or lowering the aggregated half hourly tariff relative to </w:t>
            </w:r>
            <w:proofErr w:type="gramStart"/>
            <w:r>
              <w:t>non half</w:t>
            </w:r>
            <w:proofErr w:type="gramEnd"/>
            <w:r>
              <w:t xml:space="preserve"> hourly tariffs in order to achieve the desired tariff equalisation.</w:t>
            </w:r>
          </w:p>
        </w:tc>
      </w:tr>
      <w:tr w:rsidR="005B7BB9" w:rsidRPr="00C530D0" w14:paraId="6B9040A3" w14:textId="77777777" w:rsidTr="005B7BB9">
        <w:tblPrEx>
          <w:tblBorders>
            <w:top w:val="single" w:sz="4" w:space="0" w:color="auto"/>
            <w:bottom w:val="single" w:sz="4" w:space="0" w:color="auto"/>
          </w:tblBorders>
        </w:tblPrEx>
        <w:trPr>
          <w:cantSplit/>
        </w:trPr>
        <w:tc>
          <w:tcPr>
            <w:tcW w:w="1841" w:type="dxa"/>
          </w:tcPr>
          <w:p w14:paraId="3503DFBC" w14:textId="0944F60D" w:rsidR="005B7BB9" w:rsidRPr="000F6AAF" w:rsidRDefault="005B7BB9" w:rsidP="00826967">
            <w:pPr>
              <w:pStyle w:val="TableB"/>
            </w:pPr>
            <w:r w:rsidRPr="00216E7E">
              <w:t>2431</w:t>
            </w:r>
            <w:r w:rsidR="00ED64B9">
              <w:t>–2433</w:t>
            </w:r>
          </w:p>
        </w:tc>
        <w:tc>
          <w:tcPr>
            <w:tcW w:w="7395" w:type="dxa"/>
          </w:tcPr>
          <w:p w14:paraId="024DBB8D" w14:textId="77777777" w:rsidR="005B7BB9" w:rsidRDefault="005B7BB9" w:rsidP="00826967">
            <w:pPr>
              <w:pStyle w:val="TableB"/>
            </w:pPr>
            <w:r w:rsidRPr="00216E7E">
              <w:t>Aggregated half hourly units (</w:t>
            </w:r>
            <w:proofErr w:type="spellStart"/>
            <w:r w:rsidRPr="00216E7E">
              <w:t>MWh</w:t>
            </w:r>
            <w:proofErr w:type="spellEnd"/>
            <w:r w:rsidRPr="00216E7E">
              <w:t>)</w:t>
            </w:r>
            <w:r w:rsidR="00ED64B9">
              <w:t xml:space="preserve">; </w:t>
            </w:r>
            <w:r w:rsidR="00ED64B9" w:rsidRPr="00216E7E">
              <w:t xml:space="preserve">Aggregated half hourly </w:t>
            </w:r>
            <w:proofErr w:type="spellStart"/>
            <w:r w:rsidR="00ED64B9" w:rsidRPr="00216E7E">
              <w:t>timeband</w:t>
            </w:r>
            <w:proofErr w:type="spellEnd"/>
            <w:r w:rsidR="00ED64B9" w:rsidRPr="00216E7E">
              <w:t xml:space="preserve"> use</w:t>
            </w:r>
            <w:r w:rsidR="00ED64B9">
              <w:t xml:space="preserve">; </w:t>
            </w:r>
            <w:r w:rsidR="00ED64B9" w:rsidRPr="00216E7E">
              <w:t>Aggregated half hourly tariff pseudo load coefficient</w:t>
            </w:r>
          </w:p>
          <w:p w14:paraId="70AB029D" w14:textId="2062CC51" w:rsidR="00ED64B9" w:rsidRPr="00ED64B9" w:rsidRDefault="00ED64B9" w:rsidP="00ED64B9">
            <w:pPr>
              <w:pStyle w:val="Table"/>
            </w:pPr>
            <w:r>
              <w:t>These tables calculate the network capacity and charges that would be attributed to relevant aggregated half hourly loads before equalisation.</w:t>
            </w:r>
          </w:p>
        </w:tc>
      </w:tr>
      <w:tr w:rsidR="005B7BB9" w:rsidRPr="00C530D0" w14:paraId="30EDD63E" w14:textId="77777777" w:rsidTr="005B7BB9">
        <w:tblPrEx>
          <w:tblBorders>
            <w:top w:val="single" w:sz="4" w:space="0" w:color="auto"/>
            <w:bottom w:val="single" w:sz="4" w:space="0" w:color="auto"/>
          </w:tblBorders>
        </w:tblPrEx>
        <w:trPr>
          <w:cantSplit/>
        </w:trPr>
        <w:tc>
          <w:tcPr>
            <w:tcW w:w="1841" w:type="dxa"/>
          </w:tcPr>
          <w:p w14:paraId="4ABF27C6" w14:textId="0D5D87E9" w:rsidR="005B7BB9" w:rsidRPr="000F6AAF" w:rsidRDefault="005B7BB9" w:rsidP="00826967">
            <w:pPr>
              <w:pStyle w:val="TableB"/>
            </w:pPr>
            <w:r w:rsidRPr="00216E7E">
              <w:t>2434</w:t>
            </w:r>
          </w:p>
        </w:tc>
        <w:tc>
          <w:tcPr>
            <w:tcW w:w="7395" w:type="dxa"/>
          </w:tcPr>
          <w:p w14:paraId="35A01429" w14:textId="77777777" w:rsidR="005B7BB9" w:rsidRDefault="005B7BB9" w:rsidP="00826967">
            <w:pPr>
              <w:pStyle w:val="TableB"/>
            </w:pPr>
            <w:r w:rsidRPr="00216E7E">
              <w:t>Correction factor for non half hourly tariffs</w:t>
            </w:r>
          </w:p>
          <w:p w14:paraId="2265A814" w14:textId="3BA3432E" w:rsidR="00ED64B9" w:rsidRPr="00ED64B9" w:rsidRDefault="00ED64B9" w:rsidP="00B6300E">
            <w:pPr>
              <w:pStyle w:val="Table"/>
            </w:pPr>
            <w:r>
              <w:t xml:space="preserve">These additional correction factors apply to all relevant tariffs on top of the relative correction factor.  Their purpose is to ensure that equalisation has no net effect on </w:t>
            </w:r>
            <w:r w:rsidR="00B6300E">
              <w:t>aggregate network use across the relevant tariffs.</w:t>
            </w:r>
          </w:p>
        </w:tc>
      </w:tr>
      <w:tr w:rsidR="005B7BB9" w:rsidRPr="00C530D0" w14:paraId="34534991" w14:textId="77777777" w:rsidTr="005B7BB9">
        <w:tblPrEx>
          <w:tblBorders>
            <w:top w:val="single" w:sz="4" w:space="0" w:color="auto"/>
            <w:bottom w:val="single" w:sz="4" w:space="0" w:color="auto"/>
          </w:tblBorders>
        </w:tblPrEx>
        <w:trPr>
          <w:cantSplit/>
        </w:trPr>
        <w:tc>
          <w:tcPr>
            <w:tcW w:w="1841" w:type="dxa"/>
          </w:tcPr>
          <w:p w14:paraId="11B74BBB" w14:textId="01550C90" w:rsidR="005B7BB9" w:rsidRPr="000F6AAF" w:rsidRDefault="005B7BB9" w:rsidP="00826967">
            <w:pPr>
              <w:pStyle w:val="TableB"/>
            </w:pPr>
            <w:r w:rsidRPr="00216E7E">
              <w:lastRenderedPageBreak/>
              <w:t>2435</w:t>
            </w:r>
            <w:r w:rsidR="00B6300E">
              <w:t>–2438</w:t>
            </w:r>
          </w:p>
        </w:tc>
        <w:tc>
          <w:tcPr>
            <w:tcW w:w="7395" w:type="dxa"/>
          </w:tcPr>
          <w:p w14:paraId="651F6126" w14:textId="77777777" w:rsidR="005B7BB9" w:rsidRDefault="005B7BB9" w:rsidP="00826967">
            <w:pPr>
              <w:pStyle w:val="TableB"/>
            </w:pPr>
            <w:r w:rsidRPr="00216E7E">
              <w:t xml:space="preserve">Single rate non half hourly corrected pseudo </w:t>
            </w:r>
            <w:proofErr w:type="spellStart"/>
            <w:r w:rsidRPr="00216E7E">
              <w:t>timeband</w:t>
            </w:r>
            <w:proofErr w:type="spellEnd"/>
            <w:r w:rsidRPr="00216E7E">
              <w:t xml:space="preserve"> load coefficient</w:t>
            </w:r>
            <w:r w:rsidR="00B6300E">
              <w:t>;</w:t>
            </w:r>
            <w:r w:rsidR="00B6300E" w:rsidRPr="00216E7E">
              <w:t xml:space="preserve"> Multi rate non half hourly corrected pseudo </w:t>
            </w:r>
            <w:proofErr w:type="spellStart"/>
            <w:r w:rsidR="00B6300E" w:rsidRPr="00216E7E">
              <w:t>timeband</w:t>
            </w:r>
            <w:proofErr w:type="spellEnd"/>
            <w:r w:rsidR="00B6300E" w:rsidRPr="00216E7E">
              <w:t xml:space="preserve"> load coefficient</w:t>
            </w:r>
            <w:r w:rsidR="00B6300E">
              <w:t>;</w:t>
            </w:r>
            <w:r w:rsidR="00B6300E" w:rsidRPr="00216E7E">
              <w:t xml:space="preserve"> Off-peak non half hourly corrected pseudo </w:t>
            </w:r>
            <w:proofErr w:type="spellStart"/>
            <w:r w:rsidR="00B6300E" w:rsidRPr="00216E7E">
              <w:t>timeband</w:t>
            </w:r>
            <w:proofErr w:type="spellEnd"/>
            <w:r w:rsidR="00B6300E" w:rsidRPr="00216E7E">
              <w:t xml:space="preserve"> load coefficient</w:t>
            </w:r>
            <w:r w:rsidR="00B6300E">
              <w:t>;</w:t>
            </w:r>
            <w:r w:rsidR="00B6300E" w:rsidRPr="00216E7E">
              <w:t xml:space="preserve"> Aggregated half hourly corrected pseudo </w:t>
            </w:r>
            <w:proofErr w:type="spellStart"/>
            <w:r w:rsidR="00B6300E" w:rsidRPr="00216E7E">
              <w:t>timeband</w:t>
            </w:r>
            <w:proofErr w:type="spellEnd"/>
            <w:r w:rsidR="00B6300E" w:rsidRPr="00216E7E">
              <w:t xml:space="preserve"> load coefficient</w:t>
            </w:r>
          </w:p>
          <w:p w14:paraId="3FE0F63D" w14:textId="7FDED5E7" w:rsidR="00B6300E" w:rsidRPr="00B6300E" w:rsidRDefault="00B6300E" w:rsidP="00B6300E">
            <w:pPr>
              <w:pStyle w:val="Table"/>
            </w:pPr>
            <w:r>
              <w:t>These tables apply the correction factors to each tariff to achieve equalisation.</w:t>
            </w:r>
          </w:p>
        </w:tc>
      </w:tr>
      <w:tr w:rsidR="005B7BB9" w:rsidRPr="00C530D0" w14:paraId="65CC74D7" w14:textId="77777777" w:rsidTr="005B7BB9">
        <w:tblPrEx>
          <w:tblBorders>
            <w:top w:val="single" w:sz="4" w:space="0" w:color="auto"/>
            <w:bottom w:val="single" w:sz="4" w:space="0" w:color="auto"/>
          </w:tblBorders>
        </w:tblPrEx>
        <w:trPr>
          <w:cantSplit/>
        </w:trPr>
        <w:tc>
          <w:tcPr>
            <w:tcW w:w="1841" w:type="dxa"/>
          </w:tcPr>
          <w:p w14:paraId="407D2599" w14:textId="16F9EF5C" w:rsidR="005B7BB9" w:rsidRPr="000F6AAF" w:rsidRDefault="005B7BB9" w:rsidP="00826967">
            <w:pPr>
              <w:pStyle w:val="TableB"/>
            </w:pPr>
            <w:r w:rsidRPr="00216E7E">
              <w:t>2439</w:t>
            </w:r>
          </w:p>
        </w:tc>
        <w:tc>
          <w:tcPr>
            <w:tcW w:w="7395" w:type="dxa"/>
          </w:tcPr>
          <w:p w14:paraId="054D6312" w14:textId="77777777" w:rsidR="005B7BB9" w:rsidRDefault="005B7BB9" w:rsidP="00826967">
            <w:pPr>
              <w:pStyle w:val="TableB"/>
            </w:pPr>
            <w:r w:rsidRPr="00216E7E">
              <w:t>Pseudo load coefficient by time band and network level (equalised)</w:t>
            </w:r>
          </w:p>
          <w:p w14:paraId="1C18283D" w14:textId="116C3EB0" w:rsidR="00B6300E" w:rsidRPr="00B6300E" w:rsidRDefault="00B6300E" w:rsidP="00B6300E">
            <w:pPr>
              <w:pStyle w:val="Table"/>
            </w:pPr>
            <w:r>
              <w:t>This table brings together the results of the equalisation process with the (unmodified) data for tariffs not subject to equalisation.</w:t>
            </w:r>
          </w:p>
        </w:tc>
      </w:tr>
      <w:tr w:rsidR="00064A45" w:rsidRPr="00C530D0" w14:paraId="5074FBBB" w14:textId="77777777" w:rsidTr="00302E67">
        <w:tblPrEx>
          <w:tblBorders>
            <w:top w:val="single" w:sz="4" w:space="0" w:color="auto"/>
            <w:bottom w:val="single" w:sz="4" w:space="0" w:color="auto"/>
          </w:tblBorders>
        </w:tblPrEx>
        <w:trPr>
          <w:cantSplit/>
        </w:trPr>
        <w:tc>
          <w:tcPr>
            <w:tcW w:w="1841" w:type="dxa"/>
          </w:tcPr>
          <w:p w14:paraId="000BBD7C" w14:textId="4F3DFF89" w:rsidR="00064A45" w:rsidRDefault="00302E67" w:rsidP="00302E67">
            <w:pPr>
              <w:pStyle w:val="TableB"/>
            </w:pPr>
            <w:r w:rsidRPr="00216E7E">
              <w:t>2440</w:t>
            </w:r>
            <w:r>
              <w:t>–2442</w:t>
            </w:r>
          </w:p>
        </w:tc>
        <w:tc>
          <w:tcPr>
            <w:tcW w:w="7395" w:type="dxa"/>
          </w:tcPr>
          <w:p w14:paraId="5D70E4A2" w14:textId="32C64193" w:rsidR="00064A45" w:rsidRPr="00826967" w:rsidRDefault="00064A45" w:rsidP="00302E67">
            <w:pPr>
              <w:pStyle w:val="TableB"/>
            </w:pPr>
            <w:r w:rsidRPr="00C20AD8">
              <w:t>Unit rate 1</w:t>
            </w:r>
            <w:r w:rsidR="00302E67">
              <w:t>–3</w:t>
            </w:r>
            <w:r w:rsidRPr="00C20AD8">
              <w:t xml:space="preserve"> pseudo</w:t>
            </w:r>
            <w:r w:rsidRPr="00826967">
              <w:t xml:space="preserve"> load coefficient by network level</w:t>
            </w:r>
          </w:p>
          <w:p w14:paraId="0A49E8CF" w14:textId="776F8E14" w:rsidR="00064A45" w:rsidRPr="00C24F0D" w:rsidRDefault="00064A45" w:rsidP="00302E67">
            <w:pPr>
              <w:pStyle w:val="Table"/>
            </w:pPr>
            <w:r w:rsidRPr="00826967">
              <w:t>This is what needs to be used instead of the coincidence factor to load factor ratio to calculate each unit rate</w:t>
            </w:r>
            <w:r w:rsidR="00302E67">
              <w:t xml:space="preserve"> (excluding unmetered tariffs).</w:t>
            </w:r>
          </w:p>
        </w:tc>
      </w:tr>
      <w:tr w:rsidR="00302E67" w:rsidRPr="00C530D0" w14:paraId="59F9DF02" w14:textId="77777777" w:rsidTr="005B7BB9">
        <w:tblPrEx>
          <w:tblBorders>
            <w:top w:val="single" w:sz="4" w:space="0" w:color="auto"/>
            <w:bottom w:val="single" w:sz="4" w:space="0" w:color="auto"/>
          </w:tblBorders>
        </w:tblPrEx>
        <w:trPr>
          <w:cantSplit/>
        </w:trPr>
        <w:tc>
          <w:tcPr>
            <w:tcW w:w="1841" w:type="dxa"/>
          </w:tcPr>
          <w:p w14:paraId="5AA421E1" w14:textId="34B4B1FD" w:rsidR="00302E67" w:rsidRPr="000F6AAF" w:rsidRDefault="00302E67" w:rsidP="00826967">
            <w:pPr>
              <w:pStyle w:val="TableB"/>
            </w:pPr>
            <w:r w:rsidRPr="00216E7E">
              <w:t>2443</w:t>
            </w:r>
          </w:p>
        </w:tc>
        <w:tc>
          <w:tcPr>
            <w:tcW w:w="7395" w:type="dxa"/>
          </w:tcPr>
          <w:p w14:paraId="22F13576" w14:textId="77777777" w:rsidR="00302E67" w:rsidRPr="00A47B73" w:rsidRDefault="00302E67" w:rsidP="00302E67">
            <w:pPr>
              <w:pStyle w:val="TableB"/>
            </w:pPr>
            <w:r w:rsidRPr="00A47B73">
              <w:t>Adjust annual hours by</w:t>
            </w:r>
            <w:r>
              <w:t xml:space="preserve"> special</w:t>
            </w:r>
            <w:r w:rsidRPr="00A47B73">
              <w:t xml:space="preserve"> distribution time band to match days in year</w:t>
            </w:r>
          </w:p>
          <w:p w14:paraId="65B48908" w14:textId="1A9CA871" w:rsidR="00302E67" w:rsidRPr="000F6AAF" w:rsidRDefault="00302E67" w:rsidP="00302E67">
            <w:pPr>
              <w:pStyle w:val="Table"/>
            </w:pPr>
            <w:r w:rsidRPr="00702742">
              <w:t xml:space="preserve">This adjusts the number of annual hours by </w:t>
            </w:r>
            <w:r>
              <w:t xml:space="preserve">special </w:t>
            </w:r>
            <w:r w:rsidRPr="00702742">
              <w:t xml:space="preserve">distribution time band provided </w:t>
            </w:r>
            <w:r>
              <w:t xml:space="preserve">in table 1066 </w:t>
            </w:r>
            <w:r w:rsidRPr="00702742">
              <w:t>on the Input sheet to ensure that it agrees with the number of days in the charging year.</w:t>
            </w:r>
          </w:p>
        </w:tc>
      </w:tr>
      <w:tr w:rsidR="00302E67" w:rsidRPr="00C530D0" w14:paraId="131B2944" w14:textId="77777777" w:rsidTr="005B7BB9">
        <w:tblPrEx>
          <w:tblBorders>
            <w:top w:val="single" w:sz="4" w:space="0" w:color="auto"/>
            <w:bottom w:val="single" w:sz="4" w:space="0" w:color="auto"/>
          </w:tblBorders>
        </w:tblPrEx>
        <w:trPr>
          <w:cantSplit/>
        </w:trPr>
        <w:tc>
          <w:tcPr>
            <w:tcW w:w="1841" w:type="dxa"/>
          </w:tcPr>
          <w:p w14:paraId="31C2B7C3" w14:textId="2084166E" w:rsidR="00302E67" w:rsidRPr="000F6AAF" w:rsidRDefault="00B6300E" w:rsidP="00826967">
            <w:pPr>
              <w:pStyle w:val="TableB"/>
            </w:pPr>
            <w:r>
              <w:t>2444</w:t>
            </w:r>
            <w:r w:rsidR="00302E67">
              <w:t>–2447</w:t>
            </w:r>
          </w:p>
        </w:tc>
        <w:tc>
          <w:tcPr>
            <w:tcW w:w="7395" w:type="dxa"/>
          </w:tcPr>
          <w:p w14:paraId="0CDF9676" w14:textId="74CCCECF" w:rsidR="00302E67" w:rsidRPr="00A47B73" w:rsidRDefault="00B6300E" w:rsidP="00302E67">
            <w:pPr>
              <w:pStyle w:val="TableB"/>
            </w:pPr>
            <w:r w:rsidRPr="00216E7E">
              <w:t>Normalisation of split of rate 1 units by special time band</w:t>
            </w:r>
            <w:r>
              <w:t xml:space="preserve">; </w:t>
            </w:r>
            <w:r w:rsidR="00302E67" w:rsidRPr="00A47B73">
              <w:t xml:space="preserve">Split of rate 1–3 units between </w:t>
            </w:r>
            <w:r w:rsidR="00302E67">
              <w:t xml:space="preserve">special </w:t>
            </w:r>
            <w:r w:rsidR="00302E67" w:rsidRPr="00A47B73">
              <w:t>distribution time bands</w:t>
            </w:r>
          </w:p>
          <w:p w14:paraId="16108717" w14:textId="789BDBB2" w:rsidR="00302E67" w:rsidRPr="000F6AAF" w:rsidRDefault="00302E67" w:rsidP="00302E67">
            <w:pPr>
              <w:pStyle w:val="Table"/>
            </w:pPr>
            <w:r w:rsidRPr="004933AE">
              <w:t xml:space="preserve">These tables combine </w:t>
            </w:r>
            <w:r>
              <w:t xml:space="preserve">data for non half hourly unmetered and pseudo half hourly unmetered tariffs in order to construct a consolidated table of the proportion of consumption under each tariff and unit rate which falls within each special distribution time band.  </w:t>
            </w:r>
            <w:r w:rsidRPr="004933AE">
              <w:t>Values are normalised to add up to 100 per cent</w:t>
            </w:r>
            <w:r>
              <w:t xml:space="preserve"> where appropriate.</w:t>
            </w:r>
          </w:p>
        </w:tc>
      </w:tr>
      <w:tr w:rsidR="00302E67" w:rsidRPr="00C530D0" w14:paraId="0FD45F59" w14:textId="77777777" w:rsidTr="005B7BB9">
        <w:tblPrEx>
          <w:tblBorders>
            <w:top w:val="single" w:sz="4" w:space="0" w:color="auto"/>
            <w:bottom w:val="single" w:sz="4" w:space="0" w:color="auto"/>
          </w:tblBorders>
        </w:tblPrEx>
        <w:trPr>
          <w:cantSplit/>
        </w:trPr>
        <w:tc>
          <w:tcPr>
            <w:tcW w:w="1841" w:type="dxa"/>
          </w:tcPr>
          <w:p w14:paraId="04588E43" w14:textId="1E8FF242" w:rsidR="00302E67" w:rsidRPr="000F6AAF" w:rsidRDefault="00302E67" w:rsidP="00826967">
            <w:pPr>
              <w:pStyle w:val="TableB"/>
            </w:pPr>
            <w:r w:rsidRPr="00216E7E">
              <w:t>2448</w:t>
            </w:r>
            <w:r>
              <w:t>–2449</w:t>
            </w:r>
          </w:p>
        </w:tc>
        <w:tc>
          <w:tcPr>
            <w:tcW w:w="7395" w:type="dxa"/>
          </w:tcPr>
          <w:p w14:paraId="0E6159A6" w14:textId="77777777" w:rsidR="00302E67" w:rsidRPr="00A47B73" w:rsidRDefault="00302E67" w:rsidP="00302E67">
            <w:pPr>
              <w:pStyle w:val="TableB"/>
            </w:pPr>
            <w:r w:rsidRPr="00A47B73">
              <w:t>Calculation of implied</w:t>
            </w:r>
            <w:r>
              <w:t xml:space="preserve"> special</w:t>
            </w:r>
            <w:r w:rsidRPr="00A47B73">
              <w:t xml:space="preserve"> load coefficients for </w:t>
            </w:r>
            <w:r>
              <w:t>one</w:t>
            </w:r>
            <w:r w:rsidRPr="00A47B73">
              <w:t>/three-rate users</w:t>
            </w:r>
          </w:p>
          <w:p w14:paraId="54565A55" w14:textId="47B8FB5D" w:rsidR="00302E67" w:rsidRPr="000F6AAF" w:rsidRDefault="00302E67" w:rsidP="00302E67">
            <w:pPr>
              <w:pStyle w:val="Table"/>
            </w:pPr>
            <w:r w:rsidRPr="001E7C28">
              <w:t xml:space="preserve">These tables calculate implied load coefficients from the distribution of units between </w:t>
            </w:r>
            <w:r>
              <w:t xml:space="preserve">special distribution </w:t>
            </w:r>
            <w:r w:rsidRPr="001E7C28">
              <w:t>time bands, if there were no correlation between user and system peaking within each distribution time band</w:t>
            </w:r>
            <w:r>
              <w:t xml:space="preserve">.  </w:t>
            </w:r>
            <w:r w:rsidRPr="001E7C28">
              <w:t>This assumes that the time of system peak is always in the red time band.</w:t>
            </w:r>
            <w:r>
              <w:t xml:space="preserve">  Separate calculations are done for the relevant single-rate tariffs (non half hourly unmetered) and for the relevant three-rate tariffs (pseudo half hourly unmetered).</w:t>
            </w:r>
          </w:p>
        </w:tc>
      </w:tr>
      <w:tr w:rsidR="00302E67" w:rsidRPr="00C530D0" w14:paraId="181170B1" w14:textId="77777777" w:rsidTr="005B7BB9">
        <w:tblPrEx>
          <w:tblBorders>
            <w:top w:val="single" w:sz="4" w:space="0" w:color="auto"/>
            <w:bottom w:val="single" w:sz="4" w:space="0" w:color="auto"/>
          </w:tblBorders>
        </w:tblPrEx>
        <w:trPr>
          <w:cantSplit/>
        </w:trPr>
        <w:tc>
          <w:tcPr>
            <w:tcW w:w="1841" w:type="dxa"/>
          </w:tcPr>
          <w:p w14:paraId="4C4E1FCA" w14:textId="2F476052" w:rsidR="00302E67" w:rsidRPr="000F6AAF" w:rsidRDefault="00302E67" w:rsidP="00826967">
            <w:pPr>
              <w:pStyle w:val="TableB"/>
            </w:pPr>
            <w:r w:rsidRPr="00216E7E">
              <w:t>2450</w:t>
            </w:r>
          </w:p>
        </w:tc>
        <w:tc>
          <w:tcPr>
            <w:tcW w:w="7395" w:type="dxa"/>
          </w:tcPr>
          <w:p w14:paraId="5924D44F" w14:textId="77777777" w:rsidR="00302E67" w:rsidRPr="00A47B73" w:rsidRDefault="00302E67" w:rsidP="00302E67">
            <w:pPr>
              <w:pStyle w:val="TableB"/>
            </w:pPr>
            <w:r>
              <w:t>Estimated contributions to peak demand</w:t>
            </w:r>
          </w:p>
          <w:p w14:paraId="6C266584" w14:textId="74F1B642" w:rsidR="00302E67" w:rsidRPr="000F6AAF" w:rsidRDefault="00302E67" w:rsidP="00302E67">
            <w:pPr>
              <w:pStyle w:val="Table"/>
            </w:pPr>
            <w:r>
              <w:t>The first column of this table combines data from tables 2422 and 2423.  The second column uses these data to calculate the contribution of each unmetered user category to load during the black time band.  The third column uses load factor and coincidence factor data to calculate the contribution of each unmetered user category to peak-time demand (where peak time is the coincidence factor concept).</w:t>
            </w:r>
          </w:p>
        </w:tc>
      </w:tr>
      <w:tr w:rsidR="00302E67" w:rsidRPr="00C530D0" w14:paraId="705D7920" w14:textId="77777777" w:rsidTr="005B7BB9">
        <w:tblPrEx>
          <w:tblBorders>
            <w:top w:val="single" w:sz="4" w:space="0" w:color="auto"/>
            <w:bottom w:val="single" w:sz="4" w:space="0" w:color="auto"/>
          </w:tblBorders>
        </w:tblPrEx>
        <w:trPr>
          <w:cantSplit/>
        </w:trPr>
        <w:tc>
          <w:tcPr>
            <w:tcW w:w="1841" w:type="dxa"/>
          </w:tcPr>
          <w:p w14:paraId="19014667" w14:textId="6B3C21D1" w:rsidR="00302E67" w:rsidRPr="000F6AAF" w:rsidRDefault="00302E67" w:rsidP="00826967">
            <w:pPr>
              <w:pStyle w:val="TableB"/>
            </w:pPr>
            <w:r w:rsidRPr="00216E7E">
              <w:t>2451</w:t>
            </w:r>
          </w:p>
        </w:tc>
        <w:tc>
          <w:tcPr>
            <w:tcW w:w="7395" w:type="dxa"/>
          </w:tcPr>
          <w:p w14:paraId="667F1645" w14:textId="77777777" w:rsidR="00302E67" w:rsidRPr="00B6300E" w:rsidRDefault="00302E67" w:rsidP="00826967">
            <w:pPr>
              <w:pStyle w:val="TableB"/>
            </w:pPr>
            <w:r w:rsidRPr="00B6300E">
              <w:t>Load coefficient correction factor for the group</w:t>
            </w:r>
          </w:p>
          <w:p w14:paraId="60F69FCE" w14:textId="05CD0013" w:rsidR="00B6300E" w:rsidRPr="00B6300E" w:rsidRDefault="00B6300E" w:rsidP="00B6300E">
            <w:pPr>
              <w:pStyle w:val="Table"/>
            </w:pPr>
            <w:r w:rsidRPr="00B6300E">
              <w:t>This calculates the correcti</w:t>
            </w:r>
            <w:r>
              <w:t>on factor for unmetered tariffs, as</w:t>
            </w:r>
            <w:r w:rsidRPr="00B6300E">
              <w:t xml:space="preserve"> a single number based on the aggregation of data for all unmetered tariffs</w:t>
            </w:r>
            <w:r>
              <w:t xml:space="preserve">, in line with </w:t>
            </w:r>
            <w:r w:rsidRPr="00B6300E">
              <w:t>paragraph 72(d) of the methodology.</w:t>
            </w:r>
          </w:p>
        </w:tc>
      </w:tr>
      <w:tr w:rsidR="00302E67" w:rsidRPr="00C530D0" w14:paraId="3D7DBC30" w14:textId="77777777" w:rsidTr="005B7BB9">
        <w:tblPrEx>
          <w:tblBorders>
            <w:top w:val="single" w:sz="4" w:space="0" w:color="auto"/>
            <w:bottom w:val="single" w:sz="4" w:space="0" w:color="auto"/>
          </w:tblBorders>
        </w:tblPrEx>
        <w:trPr>
          <w:cantSplit/>
        </w:trPr>
        <w:tc>
          <w:tcPr>
            <w:tcW w:w="1841" w:type="dxa"/>
          </w:tcPr>
          <w:p w14:paraId="26FBA807" w14:textId="09E1BF3F" w:rsidR="00302E67" w:rsidRPr="00A219F0" w:rsidRDefault="00302E67" w:rsidP="00826967">
            <w:pPr>
              <w:pStyle w:val="TableB"/>
            </w:pPr>
            <w:r w:rsidRPr="00216E7E">
              <w:lastRenderedPageBreak/>
              <w:t>2452</w:t>
            </w:r>
          </w:p>
        </w:tc>
        <w:tc>
          <w:tcPr>
            <w:tcW w:w="7395" w:type="dxa"/>
          </w:tcPr>
          <w:p w14:paraId="2BAC7BF5" w14:textId="77777777" w:rsidR="00302E67" w:rsidRPr="005630B1" w:rsidRDefault="00302E67" w:rsidP="00302E67">
            <w:pPr>
              <w:pStyle w:val="TableB"/>
            </w:pPr>
            <w:r w:rsidRPr="005630B1">
              <w:t>Calculation of special peaking probabilities</w:t>
            </w:r>
          </w:p>
          <w:p w14:paraId="1F69EB89" w14:textId="6F2082BD" w:rsidR="00302E67" w:rsidRPr="00A219F0" w:rsidRDefault="00302E67" w:rsidP="00302E67">
            <w:pPr>
              <w:pStyle w:val="Table"/>
            </w:pPr>
            <w:r w:rsidRPr="005630B1">
              <w:t xml:space="preserve">This table calculates black and yellow peaking probabilities, either by inferring them from the data in table 1069 (if </w:t>
            </w:r>
            <w:r>
              <w:t>provided</w:t>
            </w:r>
            <w:r w:rsidRPr="005630B1">
              <w:t>) or by applying a rule that the peaking probability per hour should be the same in yellow as in amber.</w:t>
            </w:r>
          </w:p>
        </w:tc>
      </w:tr>
      <w:tr w:rsidR="00302E67" w:rsidRPr="00C530D0" w14:paraId="117DA893" w14:textId="77777777" w:rsidTr="00302E67">
        <w:tblPrEx>
          <w:tblBorders>
            <w:top w:val="single" w:sz="4" w:space="0" w:color="auto"/>
            <w:bottom w:val="single" w:sz="4" w:space="0" w:color="auto"/>
          </w:tblBorders>
        </w:tblPrEx>
        <w:trPr>
          <w:cantSplit/>
        </w:trPr>
        <w:tc>
          <w:tcPr>
            <w:tcW w:w="1841" w:type="dxa"/>
          </w:tcPr>
          <w:p w14:paraId="3159B9A9" w14:textId="074372BB" w:rsidR="00302E67" w:rsidRPr="000F6AAF" w:rsidRDefault="00302E67" w:rsidP="00302E67">
            <w:pPr>
              <w:pStyle w:val="TableB"/>
            </w:pPr>
            <w:r w:rsidRPr="00216E7E">
              <w:t>2453</w:t>
            </w:r>
            <w:r>
              <w:t>–2454</w:t>
            </w:r>
          </w:p>
        </w:tc>
        <w:tc>
          <w:tcPr>
            <w:tcW w:w="7395" w:type="dxa"/>
          </w:tcPr>
          <w:p w14:paraId="5A34557F" w14:textId="16586A21" w:rsidR="00302E67" w:rsidRPr="00826967" w:rsidRDefault="00302E67" w:rsidP="00302E67">
            <w:pPr>
              <w:pStyle w:val="TableB"/>
            </w:pPr>
            <w:r w:rsidRPr="00C20AD8">
              <w:t>Special peaking probabilities by netwo</w:t>
            </w:r>
            <w:r w:rsidRPr="00826967">
              <w:t>rk level</w:t>
            </w:r>
            <w:r>
              <w:t xml:space="preserve">; </w:t>
            </w:r>
            <w:r w:rsidRPr="00216E7E">
              <w:t>Special peaking probabilities by network level (reshaped)</w:t>
            </w:r>
          </w:p>
          <w:p w14:paraId="24C0BF75" w14:textId="77777777" w:rsidR="00302E67" w:rsidRPr="000F6AAF" w:rsidRDefault="00302E67" w:rsidP="00302E67">
            <w:pPr>
              <w:pStyle w:val="Table"/>
            </w:pPr>
            <w:r w:rsidRPr="00826967">
              <w:t>These tables bring together and reshape the black, yellow and green peaking probabilities into a form suitable for use in subsequent calculations.</w:t>
            </w:r>
          </w:p>
        </w:tc>
      </w:tr>
      <w:tr w:rsidR="00ED64B9" w:rsidRPr="00C530D0" w14:paraId="15CA0836" w14:textId="77777777" w:rsidTr="00ED64B9">
        <w:tblPrEx>
          <w:tblBorders>
            <w:top w:val="single" w:sz="4" w:space="0" w:color="auto"/>
            <w:bottom w:val="single" w:sz="4" w:space="0" w:color="auto"/>
          </w:tblBorders>
        </w:tblPrEx>
        <w:trPr>
          <w:cantSplit/>
        </w:trPr>
        <w:tc>
          <w:tcPr>
            <w:tcW w:w="1841" w:type="dxa"/>
          </w:tcPr>
          <w:p w14:paraId="38B5D10B" w14:textId="02A9C95A" w:rsidR="00ED64B9" w:rsidRDefault="00ED64B9" w:rsidP="00ED64B9">
            <w:pPr>
              <w:pStyle w:val="TableB"/>
            </w:pPr>
            <w:r>
              <w:t>2455</w:t>
            </w:r>
          </w:p>
        </w:tc>
        <w:tc>
          <w:tcPr>
            <w:tcW w:w="7395" w:type="dxa"/>
          </w:tcPr>
          <w:p w14:paraId="32216BF0" w14:textId="77777777" w:rsidR="00ED64B9" w:rsidRPr="00A47B73" w:rsidRDefault="00ED64B9" w:rsidP="00ED64B9">
            <w:pPr>
              <w:pStyle w:val="TableB"/>
            </w:pPr>
            <w:r w:rsidRPr="00A47B73">
              <w:t>Pseudo load coefficient by time band and network level</w:t>
            </w:r>
          </w:p>
          <w:p w14:paraId="4736A0F7" w14:textId="77777777" w:rsidR="00ED64B9" w:rsidRPr="004C4116" w:rsidRDefault="00ED64B9" w:rsidP="00ED64B9">
            <w:pPr>
              <w:pStyle w:val="Table"/>
            </w:pPr>
            <w:r>
              <w:t>This is what would be used in the case of unmetered supply tariffs instead of the coincidence factor to load factor ratio to calculate contributions of each network level to charges within each special distribution time band.</w:t>
            </w:r>
          </w:p>
        </w:tc>
      </w:tr>
      <w:tr w:rsidR="00ED64B9" w:rsidRPr="00C530D0" w14:paraId="4FD3A6D9" w14:textId="77777777" w:rsidTr="00ED64B9">
        <w:tblPrEx>
          <w:tblBorders>
            <w:top w:val="single" w:sz="4" w:space="0" w:color="auto"/>
            <w:bottom w:val="single" w:sz="4" w:space="0" w:color="auto"/>
          </w:tblBorders>
        </w:tblPrEx>
        <w:trPr>
          <w:cantSplit/>
        </w:trPr>
        <w:tc>
          <w:tcPr>
            <w:tcW w:w="1841" w:type="dxa"/>
          </w:tcPr>
          <w:p w14:paraId="5DDA4F5E" w14:textId="05B4AAF4" w:rsidR="00ED64B9" w:rsidRDefault="00ED64B9" w:rsidP="00ED64B9">
            <w:pPr>
              <w:pStyle w:val="TableB"/>
            </w:pPr>
            <w:r>
              <w:t>2456–2458</w:t>
            </w:r>
          </w:p>
        </w:tc>
        <w:tc>
          <w:tcPr>
            <w:tcW w:w="7395" w:type="dxa"/>
          </w:tcPr>
          <w:p w14:paraId="1B23C3A9" w14:textId="77777777" w:rsidR="00ED64B9" w:rsidRPr="00A47B73" w:rsidRDefault="00ED64B9" w:rsidP="00ED64B9">
            <w:pPr>
              <w:pStyle w:val="TableB"/>
            </w:pPr>
            <w:r w:rsidRPr="00A47B73">
              <w:t>Unit rate 1–3 pseudo load coefficient by network level</w:t>
            </w:r>
            <w:r>
              <w:t xml:space="preserve"> (special)</w:t>
            </w:r>
          </w:p>
          <w:p w14:paraId="4615DD32" w14:textId="77777777" w:rsidR="00ED64B9" w:rsidRPr="00A47B73" w:rsidRDefault="00ED64B9" w:rsidP="00ED64B9">
            <w:pPr>
              <w:pStyle w:val="Table"/>
            </w:pPr>
            <w:r>
              <w:t>This is what needs to be used in the case of unmetered supply tariffs instead of the coincidence factor to load factor ratio to calculate each unit rate.</w:t>
            </w:r>
          </w:p>
        </w:tc>
      </w:tr>
      <w:tr w:rsidR="00ED64B9" w:rsidRPr="00C530D0" w14:paraId="3731DA47" w14:textId="77777777" w:rsidTr="00ED64B9">
        <w:tblPrEx>
          <w:tblBorders>
            <w:top w:val="single" w:sz="4" w:space="0" w:color="auto"/>
            <w:bottom w:val="single" w:sz="4" w:space="0" w:color="auto"/>
          </w:tblBorders>
        </w:tblPrEx>
        <w:trPr>
          <w:cantSplit/>
        </w:trPr>
        <w:tc>
          <w:tcPr>
            <w:tcW w:w="1841" w:type="dxa"/>
          </w:tcPr>
          <w:p w14:paraId="2684E366" w14:textId="70C2B792" w:rsidR="00ED64B9" w:rsidRPr="000F6AAF" w:rsidRDefault="00ED64B9" w:rsidP="00ED64B9">
            <w:pPr>
              <w:pStyle w:val="TableB"/>
            </w:pPr>
            <w:r>
              <w:t>2459–2461</w:t>
            </w:r>
          </w:p>
        </w:tc>
        <w:tc>
          <w:tcPr>
            <w:tcW w:w="7395" w:type="dxa"/>
          </w:tcPr>
          <w:p w14:paraId="53148DD4" w14:textId="77777777" w:rsidR="00ED64B9" w:rsidRPr="00C24F0D" w:rsidRDefault="00ED64B9" w:rsidP="00ED64B9">
            <w:pPr>
              <w:pStyle w:val="TableB"/>
            </w:pPr>
            <w:r w:rsidRPr="00C20AD8">
              <w:t>Unit rate 1</w:t>
            </w:r>
            <w:r>
              <w:t>–3</w:t>
            </w:r>
            <w:r w:rsidRPr="00C20AD8">
              <w:t xml:space="preserve"> pseudo load </w:t>
            </w:r>
            <w:r w:rsidRPr="00C24F0D">
              <w:t>coefficient by network level (combined)</w:t>
            </w:r>
          </w:p>
          <w:p w14:paraId="5691ECAF" w14:textId="07B99E4C" w:rsidR="00ED64B9" w:rsidRPr="000F6AAF" w:rsidRDefault="00ED64B9" w:rsidP="00ED64B9">
            <w:pPr>
              <w:pStyle w:val="Table"/>
            </w:pPr>
            <w:r w:rsidRPr="00C24F0D">
              <w:t>This combines data from tables</w:t>
            </w:r>
            <w:r>
              <w:t xml:space="preserve"> above </w:t>
            </w:r>
            <w:r w:rsidRPr="00C24F0D">
              <w:t>in order to compile a table providing for each tariff to which the rule at paragraph 72 of the methodology applies, whether metered or unmetered, the numbers that needs to be used in the case of unmetered supply tariffs instead of the coincidence factor to load factor ratio to calculate unit rates.</w:t>
            </w:r>
          </w:p>
        </w:tc>
      </w:tr>
    </w:tbl>
    <w:p w14:paraId="2C22C84C" w14:textId="77777777" w:rsidR="00A51B07" w:rsidRPr="00C530D0" w:rsidRDefault="00A51B07" w:rsidP="00A51B07">
      <w:pPr>
        <w:pStyle w:val="TableLastNote"/>
      </w:pPr>
    </w:p>
    <w:p w14:paraId="4D6AE346" w14:textId="441C8238" w:rsidR="00A51B07" w:rsidRDefault="00904928" w:rsidP="00257D83">
      <w:pPr>
        <w:pStyle w:val="Text"/>
      </w:pPr>
      <w:r>
        <w:t>Tables 3101 to 3106 in the NHH sheet</w:t>
      </w:r>
      <w:r w:rsidR="00A51B07">
        <w:t xml:space="preserve"> have been replaced with tables 3101 to 3107 on the new </w:t>
      </w:r>
      <w:proofErr w:type="spellStart"/>
      <w:r w:rsidR="00A51B07">
        <w:t>AggCap</w:t>
      </w:r>
      <w:proofErr w:type="spellEnd"/>
      <w:r w:rsidR="00A51B07">
        <w:t xml:space="preserve"> sheet.  The new tables</w:t>
      </w:r>
      <w:r w:rsidR="00A51B07" w:rsidRPr="00BA343A">
        <w:t xml:space="preserve"> </w:t>
      </w:r>
      <w:r w:rsidR="00A51B07">
        <w:t xml:space="preserve">operate as described in table </w:t>
      </w:r>
      <w:r w:rsidR="00A51B07">
        <w:fldChar w:fldCharType="begin"/>
      </w:r>
      <w:r w:rsidR="00A51B07">
        <w:instrText xml:space="preserve"> =1+</w:instrText>
      </w:r>
      <w:r w:rsidR="00A51B07">
        <w:fldChar w:fldCharType="begin"/>
      </w:r>
      <w:r w:rsidR="00A51B07">
        <w:instrText xml:space="preserve"> SEQ \c Table \* ARABIC </w:instrText>
      </w:r>
      <w:r w:rsidR="00A51B07">
        <w:fldChar w:fldCharType="separate"/>
      </w:r>
      <w:r w:rsidR="00C90DCF">
        <w:rPr>
          <w:noProof/>
        </w:rPr>
        <w:instrText>1</w:instrText>
      </w:r>
      <w:r w:rsidR="00A51B07">
        <w:rPr>
          <w:noProof/>
        </w:rPr>
        <w:fldChar w:fldCharType="end"/>
      </w:r>
      <w:r w:rsidR="00A51B07">
        <w:fldChar w:fldCharType="separate"/>
      </w:r>
      <w:r w:rsidR="00C90DCF">
        <w:rPr>
          <w:noProof/>
        </w:rPr>
        <w:t>2</w:t>
      </w:r>
      <w:r w:rsidR="00A51B07">
        <w:fldChar w:fldCharType="end"/>
      </w:r>
      <w:r w:rsidR="00A51B07">
        <w:t>.</w:t>
      </w:r>
    </w:p>
    <w:tbl>
      <w:tblPr>
        <w:tblW w:w="0" w:type="auto"/>
        <w:tblLook w:val="00A0" w:firstRow="1" w:lastRow="0" w:firstColumn="1" w:lastColumn="0" w:noHBand="0" w:noVBand="0"/>
      </w:tblPr>
      <w:tblGrid>
        <w:gridCol w:w="828"/>
        <w:gridCol w:w="8299"/>
      </w:tblGrid>
      <w:tr w:rsidR="005B7BB9" w:rsidRPr="00D959CB" w14:paraId="59B44080" w14:textId="77777777" w:rsidTr="00826967">
        <w:trPr>
          <w:cantSplit/>
        </w:trPr>
        <w:tc>
          <w:tcPr>
            <w:tcW w:w="9127" w:type="dxa"/>
            <w:gridSpan w:val="2"/>
            <w:tcBorders>
              <w:bottom w:val="single" w:sz="4" w:space="0" w:color="auto"/>
            </w:tcBorders>
          </w:tcPr>
          <w:p w14:paraId="73E2AA82" w14:textId="77777777" w:rsidR="005B7BB9" w:rsidRPr="00D959CB" w:rsidRDefault="005B7BB9" w:rsidP="00CD71AD">
            <w:pPr>
              <w:pStyle w:val="Caption"/>
            </w:pPr>
            <w:r w:rsidRPr="00D959CB">
              <w:t xml:space="preserve">Table </w:t>
            </w:r>
            <w:r>
              <w:fldChar w:fldCharType="begin"/>
            </w:r>
            <w:r>
              <w:instrText xml:space="preserve"> SEQ Table \* ARABIC </w:instrText>
            </w:r>
            <w:r>
              <w:fldChar w:fldCharType="separate"/>
            </w:r>
            <w:r w:rsidR="00C90DCF">
              <w:rPr>
                <w:noProof/>
              </w:rPr>
              <w:t>2</w:t>
            </w:r>
            <w:r>
              <w:fldChar w:fldCharType="end"/>
            </w:r>
            <w:r w:rsidRPr="00D959CB">
              <w:tab/>
            </w:r>
            <w:r>
              <w:t>Fixed charges for capacity costs for aggregated tariffs</w:t>
            </w:r>
            <w:r w:rsidRPr="00D959CB">
              <w:t xml:space="preserve"> calculations (</w:t>
            </w:r>
            <w:proofErr w:type="spellStart"/>
            <w:r>
              <w:t>AggCap</w:t>
            </w:r>
            <w:proofErr w:type="spellEnd"/>
            <w:r w:rsidRPr="00D959CB">
              <w:t>)</w:t>
            </w:r>
          </w:p>
        </w:tc>
      </w:tr>
      <w:tr w:rsidR="005B7BB9" w:rsidRPr="00C530D0" w14:paraId="25B9F573" w14:textId="77777777" w:rsidTr="00826967">
        <w:tblPrEx>
          <w:tblBorders>
            <w:top w:val="single" w:sz="4" w:space="0" w:color="auto"/>
            <w:bottom w:val="single" w:sz="4" w:space="0" w:color="auto"/>
          </w:tblBorders>
        </w:tblPrEx>
        <w:trPr>
          <w:cantSplit/>
        </w:trPr>
        <w:tc>
          <w:tcPr>
            <w:tcW w:w="828" w:type="dxa"/>
          </w:tcPr>
          <w:p w14:paraId="731B5154" w14:textId="77777777" w:rsidR="005B7BB9" w:rsidRDefault="005B7BB9" w:rsidP="00826967">
            <w:pPr>
              <w:pStyle w:val="TableB"/>
            </w:pPr>
            <w:r w:rsidRPr="001F01A1">
              <w:t>3101</w:t>
            </w:r>
          </w:p>
        </w:tc>
        <w:tc>
          <w:tcPr>
            <w:tcW w:w="8299" w:type="dxa"/>
          </w:tcPr>
          <w:p w14:paraId="7A0BF3C1" w14:textId="77777777" w:rsidR="005B7BB9" w:rsidRDefault="005B7BB9" w:rsidP="00826967">
            <w:pPr>
              <w:pStyle w:val="TableB"/>
            </w:pPr>
            <w:r w:rsidRPr="001F01A1">
              <w:t>Mapping of tariffs to tariff groups</w:t>
            </w:r>
          </w:p>
          <w:p w14:paraId="37933736" w14:textId="0E48E111" w:rsidR="005B7BB9" w:rsidRPr="00A2433A" w:rsidRDefault="005B7BB9" w:rsidP="00904928">
            <w:pPr>
              <w:pStyle w:val="Table"/>
            </w:pPr>
            <w:r>
              <w:t>This mapping table defines the tariff groupings used to calculate fixed charges based on capacity costs</w:t>
            </w:r>
            <w:r w:rsidR="00904928">
              <w:t>: LV domestic and small non-domestic tariffs, LV medium non-domestic tariffs, LV substation non half hourly tariffs, HV network non half hourly tariffs.</w:t>
            </w:r>
          </w:p>
        </w:tc>
      </w:tr>
      <w:tr w:rsidR="005B7BB9" w:rsidRPr="00C530D0" w14:paraId="7901BCC6" w14:textId="77777777" w:rsidTr="00826967">
        <w:tblPrEx>
          <w:tblBorders>
            <w:top w:val="single" w:sz="4" w:space="0" w:color="auto"/>
            <w:bottom w:val="single" w:sz="4" w:space="0" w:color="auto"/>
          </w:tblBorders>
        </w:tblPrEx>
        <w:trPr>
          <w:cantSplit/>
        </w:trPr>
        <w:tc>
          <w:tcPr>
            <w:tcW w:w="828" w:type="dxa"/>
          </w:tcPr>
          <w:p w14:paraId="17C66180" w14:textId="77777777" w:rsidR="005B7BB9" w:rsidRDefault="005B7BB9" w:rsidP="00826967">
            <w:pPr>
              <w:pStyle w:val="TableB"/>
            </w:pPr>
            <w:r w:rsidRPr="001F01A1">
              <w:t>3102</w:t>
            </w:r>
          </w:p>
        </w:tc>
        <w:tc>
          <w:tcPr>
            <w:tcW w:w="8299" w:type="dxa"/>
          </w:tcPr>
          <w:p w14:paraId="30972618" w14:textId="77777777" w:rsidR="005B7BB9" w:rsidRDefault="005B7BB9" w:rsidP="00826967">
            <w:pPr>
              <w:pStyle w:val="TableB"/>
            </w:pPr>
            <w:r w:rsidRPr="001F01A1">
              <w:t>Capacity use for tariffs charged for capacity on an exit point basis</w:t>
            </w:r>
          </w:p>
          <w:p w14:paraId="319D4235" w14:textId="20A8E75E" w:rsidR="005B7BB9" w:rsidRPr="00F44989" w:rsidRDefault="00904928" w:rsidP="00F44989">
            <w:pPr>
              <w:pStyle w:val="Table"/>
            </w:pPr>
            <w:r>
              <w:t>T</w:t>
            </w:r>
            <w:r w:rsidR="005B7BB9">
              <w:t>his estimates the capacity used by each relevant tariff</w:t>
            </w:r>
            <w:r>
              <w:t xml:space="preserve"> using the load factors from table 1041.</w:t>
            </w:r>
          </w:p>
        </w:tc>
      </w:tr>
      <w:tr w:rsidR="005B7BB9" w:rsidRPr="00C530D0" w14:paraId="738208D0" w14:textId="77777777" w:rsidTr="00826967">
        <w:tblPrEx>
          <w:tblBorders>
            <w:top w:val="single" w:sz="4" w:space="0" w:color="auto"/>
            <w:bottom w:val="single" w:sz="4" w:space="0" w:color="auto"/>
          </w:tblBorders>
        </w:tblPrEx>
        <w:trPr>
          <w:cantSplit/>
        </w:trPr>
        <w:tc>
          <w:tcPr>
            <w:tcW w:w="828" w:type="dxa"/>
          </w:tcPr>
          <w:p w14:paraId="1E9BE73A" w14:textId="77777777" w:rsidR="005B7BB9" w:rsidRDefault="005B7BB9" w:rsidP="00826967">
            <w:pPr>
              <w:pStyle w:val="TableB"/>
            </w:pPr>
            <w:r w:rsidRPr="001F01A1">
              <w:t>3103</w:t>
            </w:r>
          </w:p>
        </w:tc>
        <w:tc>
          <w:tcPr>
            <w:tcW w:w="8299" w:type="dxa"/>
          </w:tcPr>
          <w:p w14:paraId="5E0259CF" w14:textId="77777777" w:rsidR="005B7BB9" w:rsidRDefault="005B7BB9" w:rsidP="00826967">
            <w:pPr>
              <w:pStyle w:val="TableB"/>
            </w:pPr>
            <w:r w:rsidRPr="001F01A1">
              <w:t>Aggregate number of users charged for capacity on an exit point basis</w:t>
            </w:r>
          </w:p>
          <w:p w14:paraId="1B3C4DD1" w14:textId="77777777" w:rsidR="005B7BB9" w:rsidRPr="00F44989" w:rsidRDefault="005B7BB9" w:rsidP="00F44989">
            <w:pPr>
              <w:pStyle w:val="Table"/>
            </w:pPr>
            <w:r>
              <w:t>This calculates the number of exit points (i.e. the number of fixed charges) for each of the table 3101 groups.</w:t>
            </w:r>
          </w:p>
        </w:tc>
      </w:tr>
      <w:tr w:rsidR="005B7BB9" w:rsidRPr="00C530D0" w14:paraId="1BCE45D6" w14:textId="77777777" w:rsidTr="00826967">
        <w:tblPrEx>
          <w:tblBorders>
            <w:top w:val="single" w:sz="4" w:space="0" w:color="auto"/>
            <w:bottom w:val="single" w:sz="4" w:space="0" w:color="auto"/>
          </w:tblBorders>
        </w:tblPrEx>
        <w:trPr>
          <w:cantSplit/>
        </w:trPr>
        <w:tc>
          <w:tcPr>
            <w:tcW w:w="828" w:type="dxa"/>
          </w:tcPr>
          <w:p w14:paraId="6ACBCBF7" w14:textId="77777777" w:rsidR="005B7BB9" w:rsidRDefault="005B7BB9" w:rsidP="00826967">
            <w:pPr>
              <w:pStyle w:val="TableB"/>
            </w:pPr>
            <w:r w:rsidRPr="001F01A1">
              <w:t>3104</w:t>
            </w:r>
          </w:p>
        </w:tc>
        <w:tc>
          <w:tcPr>
            <w:tcW w:w="8299" w:type="dxa"/>
          </w:tcPr>
          <w:p w14:paraId="275CC2A3" w14:textId="77777777" w:rsidR="005B7BB9" w:rsidRDefault="005B7BB9" w:rsidP="00826967">
            <w:pPr>
              <w:pStyle w:val="TableB"/>
            </w:pPr>
            <w:r w:rsidRPr="001F01A1">
              <w:t>Aggregate capacity (kW)</w:t>
            </w:r>
          </w:p>
          <w:p w14:paraId="2CA39D17" w14:textId="77777777" w:rsidR="005B7BB9" w:rsidRPr="00F44989" w:rsidRDefault="005B7BB9" w:rsidP="00F44989">
            <w:pPr>
              <w:pStyle w:val="Table"/>
            </w:pPr>
            <w:r>
              <w:t xml:space="preserve">This calculates aggregate table 3102 </w:t>
            </w:r>
            <w:proofErr w:type="gramStart"/>
            <w:r>
              <w:t>capacity</w:t>
            </w:r>
            <w:proofErr w:type="gramEnd"/>
            <w:r>
              <w:t xml:space="preserve"> for each of the table 3101 groups.</w:t>
            </w:r>
          </w:p>
        </w:tc>
      </w:tr>
      <w:tr w:rsidR="005B7BB9" w:rsidRPr="00C530D0" w14:paraId="2A29D2ED" w14:textId="77777777" w:rsidTr="00826967">
        <w:tblPrEx>
          <w:tblBorders>
            <w:top w:val="single" w:sz="4" w:space="0" w:color="auto"/>
            <w:bottom w:val="single" w:sz="4" w:space="0" w:color="auto"/>
          </w:tblBorders>
        </w:tblPrEx>
        <w:trPr>
          <w:cantSplit/>
        </w:trPr>
        <w:tc>
          <w:tcPr>
            <w:tcW w:w="828" w:type="dxa"/>
          </w:tcPr>
          <w:p w14:paraId="788283DF" w14:textId="77777777" w:rsidR="005B7BB9" w:rsidRDefault="005B7BB9" w:rsidP="00826967">
            <w:pPr>
              <w:pStyle w:val="TableB"/>
            </w:pPr>
            <w:r w:rsidRPr="001F01A1">
              <w:lastRenderedPageBreak/>
              <w:t>3105</w:t>
            </w:r>
          </w:p>
        </w:tc>
        <w:tc>
          <w:tcPr>
            <w:tcW w:w="8299" w:type="dxa"/>
          </w:tcPr>
          <w:p w14:paraId="4209F8A0" w14:textId="77777777" w:rsidR="005B7BB9" w:rsidRDefault="005B7BB9" w:rsidP="00826967">
            <w:pPr>
              <w:pStyle w:val="TableB"/>
            </w:pPr>
            <w:r w:rsidRPr="001F01A1">
              <w:t>Average maximum kVA by exit point</w:t>
            </w:r>
          </w:p>
          <w:p w14:paraId="1393DA49" w14:textId="77777777" w:rsidR="005B7BB9" w:rsidRPr="00F44989" w:rsidRDefault="005B7BB9" w:rsidP="00F44989">
            <w:pPr>
              <w:pStyle w:val="Table"/>
            </w:pPr>
            <w:r>
              <w:t xml:space="preserve">Using tables 3103 and 3104 and an assumed power factor from table 1010, this calculates the notional capacity to be charged through fixed charges for each table 3101 </w:t>
            </w:r>
            <w:proofErr w:type="gramStart"/>
            <w:r>
              <w:t>group</w:t>
            </w:r>
            <w:proofErr w:type="gramEnd"/>
            <w:r>
              <w:t>.</w:t>
            </w:r>
          </w:p>
        </w:tc>
      </w:tr>
      <w:tr w:rsidR="005B7BB9" w:rsidRPr="00C530D0" w14:paraId="09689A5A" w14:textId="77777777" w:rsidTr="00826967">
        <w:tblPrEx>
          <w:tblBorders>
            <w:top w:val="single" w:sz="4" w:space="0" w:color="auto"/>
            <w:bottom w:val="single" w:sz="4" w:space="0" w:color="auto"/>
          </w:tblBorders>
        </w:tblPrEx>
        <w:trPr>
          <w:cantSplit/>
        </w:trPr>
        <w:tc>
          <w:tcPr>
            <w:tcW w:w="828" w:type="dxa"/>
          </w:tcPr>
          <w:p w14:paraId="79331EC0" w14:textId="77777777" w:rsidR="005B7BB9" w:rsidRDefault="005B7BB9" w:rsidP="00826967">
            <w:pPr>
              <w:pStyle w:val="TableB"/>
            </w:pPr>
            <w:r w:rsidRPr="001F01A1">
              <w:t>3106</w:t>
            </w:r>
          </w:p>
        </w:tc>
        <w:tc>
          <w:tcPr>
            <w:tcW w:w="8299" w:type="dxa"/>
          </w:tcPr>
          <w:p w14:paraId="392F9EEA" w14:textId="77777777" w:rsidR="005B7BB9" w:rsidRDefault="005B7BB9" w:rsidP="00826967">
            <w:pPr>
              <w:pStyle w:val="TableB"/>
            </w:pPr>
            <w:r w:rsidRPr="001F01A1">
              <w:t>Deemed average maximum kVA for each tariff</w:t>
            </w:r>
          </w:p>
          <w:p w14:paraId="72F057E3" w14:textId="77777777" w:rsidR="005B7BB9" w:rsidRPr="00F44989" w:rsidRDefault="005B7BB9" w:rsidP="00F44989">
            <w:pPr>
              <w:pStyle w:val="Table"/>
            </w:pPr>
            <w:r>
              <w:t>This reallocates the group-level data from table 3105 to individual tariffs, using the table 3101 mapping.</w:t>
            </w:r>
          </w:p>
        </w:tc>
      </w:tr>
      <w:tr w:rsidR="005B7BB9" w:rsidRPr="00C530D0" w14:paraId="4FF215E4" w14:textId="77777777" w:rsidTr="00826967">
        <w:tblPrEx>
          <w:tblBorders>
            <w:top w:val="single" w:sz="4" w:space="0" w:color="auto"/>
            <w:bottom w:val="single" w:sz="4" w:space="0" w:color="auto"/>
          </w:tblBorders>
        </w:tblPrEx>
        <w:trPr>
          <w:cantSplit/>
        </w:trPr>
        <w:tc>
          <w:tcPr>
            <w:tcW w:w="828" w:type="dxa"/>
          </w:tcPr>
          <w:p w14:paraId="6340BB1A" w14:textId="77777777" w:rsidR="005B7BB9" w:rsidRDefault="005B7BB9" w:rsidP="00826967">
            <w:pPr>
              <w:pStyle w:val="TableB"/>
            </w:pPr>
            <w:r w:rsidRPr="001F01A1">
              <w:t>3107</w:t>
            </w:r>
          </w:p>
        </w:tc>
        <w:tc>
          <w:tcPr>
            <w:tcW w:w="8299" w:type="dxa"/>
          </w:tcPr>
          <w:p w14:paraId="4556CBF5" w14:textId="77777777" w:rsidR="005B7BB9" w:rsidRDefault="005B7BB9" w:rsidP="00826967">
            <w:pPr>
              <w:pStyle w:val="TableB"/>
            </w:pPr>
            <w:r w:rsidRPr="001F01A1">
              <w:t>Capacity-driven fixed charge elements from standing charges factors p/MPAN/day</w:t>
            </w:r>
          </w:p>
          <w:p w14:paraId="2DDB44FB" w14:textId="77777777" w:rsidR="005B7BB9" w:rsidRPr="00F44989" w:rsidRDefault="005B7BB9" w:rsidP="00F44989">
            <w:pPr>
              <w:pStyle w:val="Table"/>
            </w:pPr>
            <w:r>
              <w:t>This shows the contribution to fixed charges for each relevant tariff from capacity costs at each network level.</w:t>
            </w:r>
          </w:p>
        </w:tc>
      </w:tr>
    </w:tbl>
    <w:p w14:paraId="67CB6CFD" w14:textId="77777777" w:rsidR="00A51B07" w:rsidRPr="00C530D0" w:rsidRDefault="00A51B07" w:rsidP="00A51B07">
      <w:pPr>
        <w:pStyle w:val="TableLastNote"/>
      </w:pPr>
    </w:p>
    <w:p w14:paraId="5E4DE1EE" w14:textId="1B08471D" w:rsidR="005006BD" w:rsidRDefault="005006BD" w:rsidP="00257D83">
      <w:pPr>
        <w:pStyle w:val="Text"/>
      </w:pPr>
      <w:r>
        <w:t>Many other calculation tables have been modified to reflect changes to the tariff list</w:t>
      </w:r>
      <w:r w:rsidR="009860BE">
        <w:t xml:space="preserve"> and to update references to tables </w:t>
      </w:r>
      <w:r w:rsidR="00904928">
        <w:t xml:space="preserve">in the Multi and </w:t>
      </w:r>
      <w:proofErr w:type="spellStart"/>
      <w:r w:rsidR="00904928">
        <w:t>AggCap</w:t>
      </w:r>
      <w:proofErr w:type="spellEnd"/>
      <w:r w:rsidR="00904928">
        <w:t xml:space="preserve"> sheets</w:t>
      </w:r>
      <w:r>
        <w:t>.</w:t>
      </w:r>
    </w:p>
    <w:p w14:paraId="59F03129" w14:textId="77777777" w:rsidR="007C27D2" w:rsidRDefault="007C27D2" w:rsidP="00BA343A">
      <w:pPr>
        <w:pStyle w:val="Heading2"/>
      </w:pPr>
      <w:bookmarkStart w:id="5" w:name="_Toc260037364"/>
      <w:r>
        <w:t>Other changes</w:t>
      </w:r>
      <w:bookmarkEnd w:id="5"/>
    </w:p>
    <w:p w14:paraId="08C90FB8" w14:textId="14BC6BD3" w:rsidR="00386B26" w:rsidRDefault="00386B26" w:rsidP="00257D83">
      <w:pPr>
        <w:pStyle w:val="Text"/>
      </w:pPr>
      <w:r>
        <w:t>The other changes are:</w:t>
      </w:r>
    </w:p>
    <w:p w14:paraId="064E70CE" w14:textId="2A14A3A2" w:rsidR="00386B26" w:rsidRDefault="007C27D2" w:rsidP="00386B26">
      <w:pPr>
        <w:pStyle w:val="Text"/>
        <w:numPr>
          <w:ilvl w:val="2"/>
          <w:numId w:val="24"/>
        </w:numPr>
      </w:pPr>
      <w:proofErr w:type="gramStart"/>
      <w:r>
        <w:t>the</w:t>
      </w:r>
      <w:proofErr w:type="gramEnd"/>
      <w:r>
        <w:t xml:space="preserve"> implementation of DCP 163 (removal of HV Sub tariffs)</w:t>
      </w:r>
      <w:r w:rsidR="00386B26">
        <w:t>; and</w:t>
      </w:r>
    </w:p>
    <w:p w14:paraId="0A8B3802" w14:textId="77777777" w:rsidR="00F44989" w:rsidRDefault="007C27D2" w:rsidP="00386B26">
      <w:pPr>
        <w:pStyle w:val="Text"/>
        <w:numPr>
          <w:ilvl w:val="2"/>
          <w:numId w:val="24"/>
        </w:numPr>
      </w:pPr>
      <w:proofErr w:type="gramStart"/>
      <w:r>
        <w:t>the</w:t>
      </w:r>
      <w:proofErr w:type="gramEnd"/>
      <w:r>
        <w:t xml:space="preserve"> correction of a few </w:t>
      </w:r>
      <w:r w:rsidR="00386B26">
        <w:t>cosmetic defects in</w:t>
      </w:r>
      <w:r w:rsidR="00F44989">
        <w:t xml:space="preserve"> model 102.</w:t>
      </w:r>
    </w:p>
    <w:p w14:paraId="1176D513" w14:textId="0797C468" w:rsidR="00B0165F" w:rsidRPr="00F44989" w:rsidRDefault="00F44989" w:rsidP="00F44989">
      <w:pPr>
        <w:pStyle w:val="Text"/>
      </w:pPr>
      <w:r>
        <w:t xml:space="preserve">The most significant cosmetic changes are to </w:t>
      </w:r>
      <w:r w:rsidR="007C27D2" w:rsidRPr="00F44989">
        <w:t xml:space="preserve">table </w:t>
      </w:r>
      <w:r w:rsidRPr="00F44989">
        <w:t>1001. CDCM target revenue</w:t>
      </w:r>
      <w:r>
        <w:t xml:space="preserve"> (containing the DCP 066 analysis of target CDCM revenue)</w:t>
      </w:r>
      <w:r w:rsidRPr="00F44989">
        <w:t>, which is now incorporated within the Input sheet</w:t>
      </w:r>
      <w:r w:rsidR="00E45825">
        <w:t xml:space="preserve">.  Inputs </w:t>
      </w:r>
      <w:r w:rsidR="007C27D2" w:rsidRPr="00F44989">
        <w:t xml:space="preserve">and calculations </w:t>
      </w:r>
      <w:r w:rsidRPr="00F44989">
        <w:t>are clearly</w:t>
      </w:r>
      <w:r>
        <w:t xml:space="preserve"> separated </w:t>
      </w:r>
      <w:r w:rsidR="007C27D2">
        <w:t>into different columns</w:t>
      </w:r>
      <w:r w:rsidR="00E45825">
        <w:t>, and the calculations made within the Input sheet are purely illustrative and are not relied upon elsewhere in the model</w:t>
      </w:r>
      <w:r w:rsidRPr="00F44989">
        <w:t>.</w:t>
      </w:r>
    </w:p>
    <w:sectPr w:rsidR="00B0165F" w:rsidRPr="00F44989" w:rsidSect="00964778">
      <w:footerReference w:type="default" r:id="rId8"/>
      <w:pgSz w:w="11900" w:h="16840"/>
      <w:pgMar w:top="1800" w:right="1440" w:bottom="1440" w:left="1440" w:header="1080" w:footer="835" w:gutter="0"/>
      <w:cols w:space="708"/>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F41E902" w14:textId="77777777" w:rsidR="00C90DCF" w:rsidRDefault="00C90DCF" w:rsidP="00964778">
      <w:pPr>
        <w:spacing w:after="0"/>
      </w:pPr>
      <w:r>
        <w:separator/>
      </w:r>
    </w:p>
  </w:endnote>
  <w:endnote w:type="continuationSeparator" w:id="0">
    <w:p w14:paraId="20D8E2BE" w14:textId="77777777" w:rsidR="00C90DCF" w:rsidRDefault="00C90DCF" w:rsidP="0096477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00000003" w:usb1="00000000" w:usb2="00000000" w:usb3="00000000" w:csb0="00000001"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MS Mincho">
    <w:altName w:val="ＭＳ 明朝"/>
    <w:panose1 w:val="00000000000000000000"/>
    <w:charset w:val="80"/>
    <w:family w:val="roman"/>
    <w:notTrueType/>
    <w:pitch w:val="fixed"/>
    <w:sig w:usb0="00000001" w:usb1="08070000" w:usb2="00000010" w:usb3="00000000" w:csb0="00020000" w:csb1="00000000"/>
  </w:font>
  <w:font w:name="Courier">
    <w:panose1 w:val="02000500000000000000"/>
    <w:charset w:val="4D"/>
    <w:family w:val="modern"/>
    <w:notTrueType/>
    <w:pitch w:val="fixed"/>
    <w:sig w:usb0="00000003" w:usb1="00000000" w:usb2="00000000" w:usb3="00000000" w:csb0="00000001" w:csb1="00000000"/>
  </w:font>
  <w:font w:name="Tahoma">
    <w:panose1 w:val="020B0604030504040204"/>
    <w:charset w:val="00"/>
    <w:family w:val="auto"/>
    <w:pitch w:val="variable"/>
    <w:sig w:usb0="00000003" w:usb1="00000000" w:usb2="00000000" w:usb3="00000000" w:csb0="00000001" w:csb1="00000000"/>
  </w:font>
  <w:font w:name="MS Gothic">
    <w:altName w:val="ＭＳ ゴシック"/>
    <w:panose1 w:val="00000000000000000000"/>
    <w:charset w:val="80"/>
    <w:family w:val="modern"/>
    <w:notTrueType/>
    <w:pitch w:val="fixed"/>
    <w:sig w:usb0="00000001" w:usb1="08070000" w:usb2="00000010" w:usb3="00000000" w:csb0="00020000" w:csb1="00000000"/>
  </w:font>
  <w:font w:name="Verdana">
    <w:panose1 w:val="020B0604030504040204"/>
    <w:charset w:val="4D"/>
    <w:family w:val="roman"/>
    <w:notTrueType/>
    <w:pitch w:val="variable"/>
    <w:sig w:usb0="00000003" w:usb1="00000000" w:usb2="00000000" w:usb3="00000000" w:csb0="00000001" w:csb1="00000000"/>
  </w:font>
  <w:font w:name="Arial Unicode MS">
    <w:panose1 w:val="020B0604020202020204"/>
    <w:charset w:val="00"/>
    <w:family w:val="auto"/>
    <w:pitch w:val="variable"/>
    <w:sig w:usb0="00000003" w:usb1="00000000" w:usb2="00000000" w:usb3="00000000" w:csb0="00000001" w:csb1="00000000"/>
  </w:font>
  <w:font w:name="EDFE Meta-Normal Roman">
    <w:altName w:val="Century Gothic"/>
    <w:charset w:val="00"/>
    <w:family w:val="swiss"/>
    <w:pitch w:val="variable"/>
    <w:sig w:usb0="8000002F" w:usb1="4000004A" w:usb2="00000000" w:usb3="00000000" w:csb0="00000001" w:csb1="00000000"/>
  </w:font>
  <w:font w:name="ＭＳ ゴシック">
    <w:panose1 w:val="00000000000000000000"/>
    <w:charset w:val="80"/>
    <w:family w:val="modern"/>
    <w:notTrueType/>
    <w:pitch w:val="fixed"/>
    <w:sig w:usb0="00000001" w:usb1="08070000" w:usb2="00000010" w:usb3="00000000" w:csb0="00020000" w:csb1="00000000"/>
  </w:font>
  <w:font w:name="ＭＳ 明朝">
    <w:panose1 w:val="00000000000000000000"/>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3BDD1A" w14:textId="77777777" w:rsidR="00C90DCF" w:rsidRDefault="00C90DCF">
    <w:pPr>
      <w:pStyle w:val="Footer"/>
    </w:pPr>
    <w:r w:rsidRPr="008021FC">
      <w:tab/>
    </w:r>
    <w:r>
      <w:fldChar w:fldCharType="begin"/>
    </w:r>
    <w:r>
      <w:instrText xml:space="preserve"> PAGE  \* MERGEFORMAT </w:instrText>
    </w:r>
    <w:r>
      <w:fldChar w:fldCharType="separate"/>
    </w:r>
    <w:r w:rsidR="009D2DFD">
      <w:rPr>
        <w:noProof/>
      </w:rPr>
      <w:t>1</w:t>
    </w:r>
    <w:r>
      <w:rPr>
        <w:noProof/>
      </w:rP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5B743C0" w14:textId="77777777" w:rsidR="00C90DCF" w:rsidRDefault="00C90DCF" w:rsidP="00964778">
      <w:pPr>
        <w:spacing w:after="0"/>
      </w:pPr>
      <w:r>
        <w:separator/>
      </w:r>
    </w:p>
  </w:footnote>
  <w:footnote w:type="continuationSeparator" w:id="0">
    <w:p w14:paraId="2D760DAF" w14:textId="77777777" w:rsidR="00C90DCF" w:rsidRDefault="00C90DCF" w:rsidP="00964778">
      <w:pPr>
        <w:spacing w:after="0"/>
      </w:pPr>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9A9248A2"/>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08C23F8E"/>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5F78F57A"/>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EDC65E76"/>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F4F01F4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26FC0A9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0BC01FD2"/>
    <w:lvl w:ilvl="0">
      <w:start w:val="1"/>
      <w:numFmt w:val="bullet"/>
      <w:lvlText w:val=""/>
      <w:lvlJc w:val="left"/>
      <w:pPr>
        <w:tabs>
          <w:tab w:val="num" w:pos="926"/>
        </w:tabs>
        <w:ind w:left="926" w:hanging="360"/>
      </w:pPr>
      <w:rPr>
        <w:rFonts w:ascii="Symbol" w:hAnsi="Symbol" w:hint="default"/>
      </w:rPr>
    </w:lvl>
  </w:abstractNum>
  <w:abstractNum w:abstractNumId="7">
    <w:nsid w:val="FFFFFF88"/>
    <w:multiLevelType w:val="singleLevel"/>
    <w:tmpl w:val="D06C5178"/>
    <w:lvl w:ilvl="0">
      <w:start w:val="1"/>
      <w:numFmt w:val="decimal"/>
      <w:lvlText w:val="%1."/>
      <w:lvlJc w:val="left"/>
      <w:pPr>
        <w:tabs>
          <w:tab w:val="num" w:pos="360"/>
        </w:tabs>
        <w:ind w:left="360" w:hanging="360"/>
      </w:pPr>
      <w:rPr>
        <w:rFonts w:cs="Times New Roman"/>
      </w:rPr>
    </w:lvl>
  </w:abstractNum>
  <w:abstractNum w:abstractNumId="8">
    <w:nsid w:val="FFFFFF89"/>
    <w:multiLevelType w:val="singleLevel"/>
    <w:tmpl w:val="A412BD90"/>
    <w:lvl w:ilvl="0">
      <w:start w:val="1"/>
      <w:numFmt w:val="bullet"/>
      <w:lvlText w:val=""/>
      <w:lvlJc w:val="left"/>
      <w:pPr>
        <w:tabs>
          <w:tab w:val="num" w:pos="360"/>
        </w:tabs>
        <w:ind w:left="360" w:hanging="360"/>
      </w:pPr>
      <w:rPr>
        <w:rFonts w:ascii="Symbol" w:hAnsi="Symbol" w:hint="default"/>
      </w:rPr>
    </w:lvl>
  </w:abstractNum>
  <w:abstractNum w:abstractNumId="9">
    <w:nsid w:val="051E0634"/>
    <w:multiLevelType w:val="multilevel"/>
    <w:tmpl w:val="548E4A2C"/>
    <w:lvl w:ilvl="0">
      <w:start w:val="1"/>
      <w:numFmt w:val="none"/>
      <w:suff w:val="nothing"/>
      <w:lvlText w:val=""/>
      <w:lvlJc w:val="left"/>
      <w:rPr>
        <w:rFonts w:cs="Times New Roman" w:hint="default"/>
      </w:rPr>
    </w:lvl>
    <w:lvl w:ilvl="1">
      <w:start w:val="1"/>
      <w:numFmt w:val="decimal"/>
      <w:lvlRestart w:val="0"/>
      <w:lvlText w:val="%2."/>
      <w:lvlJc w:val="left"/>
      <w:pPr>
        <w:tabs>
          <w:tab w:val="num" w:pos="720"/>
        </w:tabs>
        <w:ind w:left="720" w:hanging="720"/>
      </w:pPr>
      <w:rPr>
        <w:rFonts w:cs="Times New Roman" w:hint="default"/>
      </w:rPr>
    </w:lvl>
    <w:lvl w:ilvl="2">
      <w:start w:val="1"/>
      <w:numFmt w:val="lowerLetter"/>
      <w:lvlText w:val="(%3)"/>
      <w:lvlJc w:val="left"/>
      <w:pPr>
        <w:tabs>
          <w:tab w:val="num" w:pos="1195"/>
        </w:tabs>
        <w:ind w:left="1195" w:hanging="475"/>
      </w:pPr>
      <w:rPr>
        <w:rFonts w:cs="Times New Roman" w:hint="default"/>
      </w:rPr>
    </w:lvl>
    <w:lvl w:ilvl="3">
      <w:start w:val="1"/>
      <w:numFmt w:val="lowerRoman"/>
      <w:lvlText w:val="(%4)"/>
      <w:lvlJc w:val="left"/>
      <w:pPr>
        <w:tabs>
          <w:tab w:val="num" w:pos="1685"/>
        </w:tabs>
        <w:ind w:left="1685" w:hanging="490"/>
      </w:pPr>
      <w:rPr>
        <w:rFonts w:cs="Times New Roman" w:hint="default"/>
        <w:color w:val="auto"/>
        <w:sz w:val="24"/>
      </w:rPr>
    </w:lvl>
    <w:lvl w:ilvl="4">
      <w:start w:val="1"/>
      <w:numFmt w:val="bullet"/>
      <w:lvlText w:val=""/>
      <w:lvlJc w:val="left"/>
      <w:pPr>
        <w:tabs>
          <w:tab w:val="num" w:pos="1800"/>
        </w:tabs>
        <w:ind w:left="1800" w:hanging="360"/>
      </w:pPr>
      <w:rPr>
        <w:rFonts w:ascii="Symbol" w:hAnsi="Symbol" w:hint="default"/>
        <w:color w:val="auto"/>
      </w:rPr>
    </w:lvl>
    <w:lvl w:ilvl="5">
      <w:start w:val="1"/>
      <w:numFmt w:val="bullet"/>
      <w:lvlText w:val=""/>
      <w:lvlJc w:val="left"/>
      <w:pPr>
        <w:tabs>
          <w:tab w:val="num" w:pos="2160"/>
        </w:tabs>
        <w:ind w:left="2160" w:hanging="360"/>
      </w:pPr>
      <w:rPr>
        <w:rFonts w:ascii="Symbol" w:hAnsi="Symbol" w:hint="default"/>
        <w:color w:val="auto"/>
      </w:rPr>
    </w:lvl>
    <w:lvl w:ilvl="6">
      <w:start w:val="1"/>
      <w:numFmt w:val="bullet"/>
      <w:lvlText w:val=""/>
      <w:lvlJc w:val="left"/>
      <w:pPr>
        <w:tabs>
          <w:tab w:val="num" w:pos="2520"/>
        </w:tabs>
        <w:ind w:left="2520" w:hanging="360"/>
      </w:pPr>
      <w:rPr>
        <w:rFonts w:ascii="Symbol" w:hAnsi="Symbol" w:hint="default"/>
        <w:color w:val="auto"/>
      </w:rPr>
    </w:lvl>
    <w:lvl w:ilvl="7">
      <w:start w:val="1"/>
      <w:numFmt w:val="bullet"/>
      <w:lvlText w:val=""/>
      <w:lvlJc w:val="left"/>
      <w:pPr>
        <w:tabs>
          <w:tab w:val="num" w:pos="2880"/>
        </w:tabs>
        <w:ind w:left="2880" w:hanging="360"/>
      </w:pPr>
      <w:rPr>
        <w:rFonts w:ascii="Symbol" w:hAnsi="Symbol" w:hint="default"/>
        <w:color w:val="auto"/>
      </w:rPr>
    </w:lvl>
    <w:lvl w:ilvl="8">
      <w:start w:val="1"/>
      <w:numFmt w:val="bullet"/>
      <w:lvlText w:val=""/>
      <w:lvlJc w:val="left"/>
      <w:pPr>
        <w:tabs>
          <w:tab w:val="num" w:pos="3240"/>
        </w:tabs>
        <w:ind w:left="3240" w:hanging="360"/>
      </w:pPr>
      <w:rPr>
        <w:rFonts w:ascii="Symbol" w:hAnsi="Symbol" w:hint="default"/>
        <w:color w:val="auto"/>
      </w:rPr>
    </w:lvl>
  </w:abstractNum>
  <w:abstractNum w:abstractNumId="10">
    <w:nsid w:val="0E1602E8"/>
    <w:multiLevelType w:val="multilevel"/>
    <w:tmpl w:val="97F40312"/>
    <w:lvl w:ilvl="0">
      <w:numFmt w:val="none"/>
      <w:lvlText w:val=""/>
      <w:lvlJc w:val="left"/>
      <w:pPr>
        <w:tabs>
          <w:tab w:val="num" w:pos="360"/>
        </w:tabs>
      </w:pPr>
      <w:rPr>
        <w:rFonts w:cs="Times New Roman"/>
      </w:rPr>
    </w:lvl>
    <w:lvl w:ilvl="1">
      <w:start w:val="1"/>
      <w:numFmt w:val="decimal"/>
      <w:pStyle w:val="T2"/>
      <w:lvlText w:val="%2."/>
      <w:lvlJc w:val="left"/>
      <w:rPr>
        <w:rFonts w:cs="Times New Roman"/>
        <w:position w:val="0"/>
      </w:rPr>
    </w:lvl>
    <w:lvl w:ilvl="2">
      <w:start w:val="1"/>
      <w:numFmt w:val="lowerLetter"/>
      <w:lvlText w:val="(%3)"/>
      <w:lvlJc w:val="left"/>
      <w:rPr>
        <w:rFonts w:cs="Times New Roman"/>
        <w:position w:val="0"/>
      </w:rPr>
    </w:lvl>
    <w:lvl w:ilvl="3">
      <w:start w:val="1"/>
      <w:numFmt w:val="lowerRoman"/>
      <w:lvlText w:val="(%4)"/>
      <w:lvlJc w:val="left"/>
      <w:rPr>
        <w:rFonts w:cs="Times New Roman"/>
        <w:position w:val="0"/>
      </w:rPr>
    </w:lvl>
    <w:lvl w:ilvl="4">
      <w:start w:val="1"/>
      <w:numFmt w:val="bullet"/>
      <w:lvlText w:val="⇒"/>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
      <w:lvlJc w:val="left"/>
      <w:rPr>
        <w:position w:val="0"/>
      </w:rPr>
    </w:lvl>
    <w:lvl w:ilvl="8">
      <w:start w:val="1"/>
      <w:numFmt w:val="bullet"/>
      <w:lvlText w:val="⇒"/>
      <w:lvlJc w:val="left"/>
      <w:rPr>
        <w:position w:val="0"/>
      </w:rPr>
    </w:lvl>
  </w:abstractNum>
  <w:abstractNum w:abstractNumId="11">
    <w:nsid w:val="18E12C36"/>
    <w:multiLevelType w:val="multilevel"/>
    <w:tmpl w:val="548E4A2C"/>
    <w:lvl w:ilvl="0">
      <w:start w:val="1"/>
      <w:numFmt w:val="none"/>
      <w:suff w:val="nothing"/>
      <w:lvlText w:val=""/>
      <w:lvlJc w:val="left"/>
      <w:rPr>
        <w:rFonts w:cs="Times New Roman" w:hint="default"/>
      </w:rPr>
    </w:lvl>
    <w:lvl w:ilvl="1">
      <w:start w:val="1"/>
      <w:numFmt w:val="decimal"/>
      <w:lvlRestart w:val="0"/>
      <w:pStyle w:val="Text"/>
      <w:lvlText w:val="%2."/>
      <w:lvlJc w:val="left"/>
      <w:pPr>
        <w:tabs>
          <w:tab w:val="num" w:pos="720"/>
        </w:tabs>
        <w:ind w:left="720" w:hanging="720"/>
      </w:pPr>
      <w:rPr>
        <w:rFonts w:cs="Times New Roman" w:hint="default"/>
      </w:rPr>
    </w:lvl>
    <w:lvl w:ilvl="2">
      <w:start w:val="1"/>
      <w:numFmt w:val="lowerLetter"/>
      <w:lvlText w:val="(%3)"/>
      <w:lvlJc w:val="left"/>
      <w:pPr>
        <w:tabs>
          <w:tab w:val="num" w:pos="1195"/>
        </w:tabs>
        <w:ind w:left="1195" w:hanging="475"/>
      </w:pPr>
      <w:rPr>
        <w:rFonts w:cs="Times New Roman" w:hint="default"/>
      </w:rPr>
    </w:lvl>
    <w:lvl w:ilvl="3">
      <w:start w:val="1"/>
      <w:numFmt w:val="lowerRoman"/>
      <w:lvlText w:val="(%4)"/>
      <w:lvlJc w:val="left"/>
      <w:pPr>
        <w:tabs>
          <w:tab w:val="num" w:pos="1685"/>
        </w:tabs>
        <w:ind w:left="1685" w:hanging="490"/>
      </w:pPr>
      <w:rPr>
        <w:rFonts w:cs="Times New Roman" w:hint="default"/>
        <w:color w:val="auto"/>
        <w:sz w:val="24"/>
      </w:rPr>
    </w:lvl>
    <w:lvl w:ilvl="4">
      <w:start w:val="1"/>
      <w:numFmt w:val="bullet"/>
      <w:lvlText w:val=""/>
      <w:lvlJc w:val="left"/>
      <w:pPr>
        <w:tabs>
          <w:tab w:val="num" w:pos="1800"/>
        </w:tabs>
        <w:ind w:left="1800" w:hanging="360"/>
      </w:pPr>
      <w:rPr>
        <w:rFonts w:ascii="Symbol" w:hAnsi="Symbol" w:hint="default"/>
        <w:color w:val="auto"/>
      </w:rPr>
    </w:lvl>
    <w:lvl w:ilvl="5">
      <w:start w:val="1"/>
      <w:numFmt w:val="bullet"/>
      <w:lvlText w:val=""/>
      <w:lvlJc w:val="left"/>
      <w:pPr>
        <w:tabs>
          <w:tab w:val="num" w:pos="2160"/>
        </w:tabs>
        <w:ind w:left="2160" w:hanging="360"/>
      </w:pPr>
      <w:rPr>
        <w:rFonts w:ascii="Symbol" w:hAnsi="Symbol" w:hint="default"/>
        <w:color w:val="auto"/>
      </w:rPr>
    </w:lvl>
    <w:lvl w:ilvl="6">
      <w:start w:val="1"/>
      <w:numFmt w:val="bullet"/>
      <w:lvlText w:val=""/>
      <w:lvlJc w:val="left"/>
      <w:pPr>
        <w:tabs>
          <w:tab w:val="num" w:pos="2520"/>
        </w:tabs>
        <w:ind w:left="2520" w:hanging="360"/>
      </w:pPr>
      <w:rPr>
        <w:rFonts w:ascii="Symbol" w:hAnsi="Symbol" w:hint="default"/>
        <w:color w:val="auto"/>
      </w:rPr>
    </w:lvl>
    <w:lvl w:ilvl="7">
      <w:start w:val="1"/>
      <w:numFmt w:val="bullet"/>
      <w:lvlText w:val=""/>
      <w:lvlJc w:val="left"/>
      <w:pPr>
        <w:tabs>
          <w:tab w:val="num" w:pos="2880"/>
        </w:tabs>
        <w:ind w:left="2880" w:hanging="360"/>
      </w:pPr>
      <w:rPr>
        <w:rFonts w:ascii="Symbol" w:hAnsi="Symbol" w:hint="default"/>
        <w:color w:val="auto"/>
      </w:rPr>
    </w:lvl>
    <w:lvl w:ilvl="8">
      <w:start w:val="1"/>
      <w:numFmt w:val="bullet"/>
      <w:lvlText w:val=""/>
      <w:lvlJc w:val="left"/>
      <w:pPr>
        <w:tabs>
          <w:tab w:val="num" w:pos="3240"/>
        </w:tabs>
        <w:ind w:left="3240" w:hanging="360"/>
      </w:pPr>
      <w:rPr>
        <w:rFonts w:ascii="Symbol" w:hAnsi="Symbol" w:hint="default"/>
        <w:color w:val="auto"/>
      </w:rPr>
    </w:lvl>
  </w:abstractNum>
  <w:abstractNum w:abstractNumId="12">
    <w:nsid w:val="1FB87DBC"/>
    <w:multiLevelType w:val="multilevel"/>
    <w:tmpl w:val="9CB42DB0"/>
    <w:lvl w:ilvl="0">
      <w:start w:val="1"/>
      <w:numFmt w:val="none"/>
      <w:suff w:val="nothing"/>
      <w:lvlText w:val=""/>
      <w:lvlJc w:val="left"/>
      <w:rPr>
        <w:rFonts w:cs="Times New Roman" w:hint="default"/>
      </w:rPr>
    </w:lvl>
    <w:lvl w:ilvl="1">
      <w:start w:val="1"/>
      <w:numFmt w:val="decimal"/>
      <w:lvlRestart w:val="0"/>
      <w:lvlText w:val="%2."/>
      <w:lvlJc w:val="left"/>
      <w:pPr>
        <w:tabs>
          <w:tab w:val="num" w:pos="720"/>
        </w:tabs>
        <w:ind w:left="720" w:hanging="720"/>
      </w:pPr>
      <w:rPr>
        <w:rFonts w:cs="Times New Roman" w:hint="default"/>
      </w:rPr>
    </w:lvl>
    <w:lvl w:ilvl="2">
      <w:start w:val="1"/>
      <w:numFmt w:val="lowerLetter"/>
      <w:lvlText w:val="(%3)"/>
      <w:lvlJc w:val="left"/>
      <w:pPr>
        <w:tabs>
          <w:tab w:val="num" w:pos="1195"/>
        </w:tabs>
        <w:ind w:left="1195" w:hanging="475"/>
      </w:pPr>
      <w:rPr>
        <w:rFonts w:cs="Times New Roman" w:hint="default"/>
      </w:rPr>
    </w:lvl>
    <w:lvl w:ilvl="3">
      <w:start w:val="1"/>
      <w:numFmt w:val="lowerRoman"/>
      <w:lvlText w:val="(%4)"/>
      <w:lvlJc w:val="left"/>
      <w:pPr>
        <w:tabs>
          <w:tab w:val="num" w:pos="1685"/>
        </w:tabs>
        <w:ind w:left="1685" w:hanging="490"/>
      </w:pPr>
      <w:rPr>
        <w:rFonts w:cs="Times New Roman" w:hint="default"/>
        <w:color w:val="auto"/>
        <w:sz w:val="24"/>
      </w:rPr>
    </w:lvl>
    <w:lvl w:ilvl="4">
      <w:start w:val="1"/>
      <w:numFmt w:val="bullet"/>
      <w:lvlText w:val=""/>
      <w:lvlJc w:val="left"/>
      <w:pPr>
        <w:tabs>
          <w:tab w:val="num" w:pos="1800"/>
        </w:tabs>
        <w:ind w:left="1800" w:hanging="360"/>
      </w:pPr>
      <w:rPr>
        <w:rFonts w:ascii="Symbol" w:hAnsi="Symbol" w:hint="default"/>
        <w:color w:val="auto"/>
      </w:rPr>
    </w:lvl>
    <w:lvl w:ilvl="5">
      <w:start w:val="1"/>
      <w:numFmt w:val="bullet"/>
      <w:lvlText w:val=""/>
      <w:lvlJc w:val="left"/>
      <w:pPr>
        <w:tabs>
          <w:tab w:val="num" w:pos="2160"/>
        </w:tabs>
        <w:ind w:left="2160" w:hanging="360"/>
      </w:pPr>
      <w:rPr>
        <w:rFonts w:ascii="Symbol" w:hAnsi="Symbol" w:hint="default"/>
        <w:color w:val="auto"/>
      </w:rPr>
    </w:lvl>
    <w:lvl w:ilvl="6">
      <w:start w:val="1"/>
      <w:numFmt w:val="bullet"/>
      <w:lvlText w:val=""/>
      <w:lvlJc w:val="left"/>
      <w:pPr>
        <w:tabs>
          <w:tab w:val="num" w:pos="2520"/>
        </w:tabs>
        <w:ind w:left="2520" w:hanging="360"/>
      </w:pPr>
      <w:rPr>
        <w:rFonts w:ascii="Symbol" w:hAnsi="Symbol" w:hint="default"/>
        <w:color w:val="auto"/>
      </w:rPr>
    </w:lvl>
    <w:lvl w:ilvl="7">
      <w:start w:val="1"/>
      <w:numFmt w:val="bullet"/>
      <w:lvlText w:val=""/>
      <w:lvlJc w:val="left"/>
      <w:pPr>
        <w:tabs>
          <w:tab w:val="num" w:pos="2880"/>
        </w:tabs>
        <w:ind w:left="2880" w:hanging="360"/>
      </w:pPr>
      <w:rPr>
        <w:rFonts w:ascii="Symbol" w:hAnsi="Symbol" w:hint="default"/>
        <w:color w:val="auto"/>
      </w:rPr>
    </w:lvl>
    <w:lvl w:ilvl="8">
      <w:start w:val="1"/>
      <w:numFmt w:val="bullet"/>
      <w:lvlText w:val=""/>
      <w:lvlJc w:val="left"/>
      <w:pPr>
        <w:tabs>
          <w:tab w:val="num" w:pos="3240"/>
        </w:tabs>
        <w:ind w:left="3240" w:hanging="360"/>
      </w:pPr>
      <w:rPr>
        <w:rFonts w:ascii="Symbol" w:hAnsi="Symbol" w:hint="default"/>
        <w:color w:val="auto"/>
      </w:rPr>
    </w:lvl>
  </w:abstractNum>
  <w:abstractNum w:abstractNumId="13">
    <w:nsid w:val="45F57804"/>
    <w:multiLevelType w:val="hybridMultilevel"/>
    <w:tmpl w:val="246C9FBE"/>
    <w:lvl w:ilvl="0" w:tplc="754A087C">
      <w:start w:val="1"/>
      <w:numFmt w:val="bullet"/>
      <w:lvlText w:val=""/>
      <w:lvlJc w:val="left"/>
      <w:pPr>
        <w:ind w:left="360" w:hanging="360"/>
      </w:pPr>
      <w:rPr>
        <w:rFonts w:ascii="Symbol" w:hAnsi="Symbol" w:hint="default"/>
      </w:rPr>
    </w:lvl>
    <w:lvl w:ilvl="1" w:tplc="BDA27C2E">
      <w:start w:val="1"/>
      <w:numFmt w:val="bullet"/>
      <w:lvlText w:val="o"/>
      <w:lvlJc w:val="left"/>
      <w:pPr>
        <w:ind w:left="1080" w:hanging="360"/>
      </w:pPr>
      <w:rPr>
        <w:rFonts w:ascii="Courier New" w:hAnsi="Courier New" w:hint="default"/>
      </w:rPr>
    </w:lvl>
    <w:lvl w:ilvl="2" w:tplc="747AE034" w:tentative="1">
      <w:start w:val="1"/>
      <w:numFmt w:val="bullet"/>
      <w:lvlText w:val=""/>
      <w:lvlJc w:val="left"/>
      <w:pPr>
        <w:ind w:left="1800" w:hanging="360"/>
      </w:pPr>
      <w:rPr>
        <w:rFonts w:ascii="Wingdings" w:hAnsi="Wingdings" w:hint="default"/>
      </w:rPr>
    </w:lvl>
    <w:lvl w:ilvl="3" w:tplc="D26ACD44" w:tentative="1">
      <w:start w:val="1"/>
      <w:numFmt w:val="bullet"/>
      <w:lvlText w:val=""/>
      <w:lvlJc w:val="left"/>
      <w:pPr>
        <w:ind w:left="2520" w:hanging="360"/>
      </w:pPr>
      <w:rPr>
        <w:rFonts w:ascii="Symbol" w:hAnsi="Symbol" w:hint="default"/>
      </w:rPr>
    </w:lvl>
    <w:lvl w:ilvl="4" w:tplc="4688534A" w:tentative="1">
      <w:start w:val="1"/>
      <w:numFmt w:val="bullet"/>
      <w:lvlText w:val="o"/>
      <w:lvlJc w:val="left"/>
      <w:pPr>
        <w:ind w:left="3240" w:hanging="360"/>
      </w:pPr>
      <w:rPr>
        <w:rFonts w:ascii="Courier New" w:hAnsi="Courier New" w:hint="default"/>
      </w:rPr>
    </w:lvl>
    <w:lvl w:ilvl="5" w:tplc="90CE9B06" w:tentative="1">
      <w:start w:val="1"/>
      <w:numFmt w:val="bullet"/>
      <w:lvlText w:val=""/>
      <w:lvlJc w:val="left"/>
      <w:pPr>
        <w:ind w:left="3960" w:hanging="360"/>
      </w:pPr>
      <w:rPr>
        <w:rFonts w:ascii="Wingdings" w:hAnsi="Wingdings" w:hint="default"/>
      </w:rPr>
    </w:lvl>
    <w:lvl w:ilvl="6" w:tplc="E40E893E" w:tentative="1">
      <w:start w:val="1"/>
      <w:numFmt w:val="bullet"/>
      <w:lvlText w:val=""/>
      <w:lvlJc w:val="left"/>
      <w:pPr>
        <w:ind w:left="4680" w:hanging="360"/>
      </w:pPr>
      <w:rPr>
        <w:rFonts w:ascii="Symbol" w:hAnsi="Symbol" w:hint="default"/>
      </w:rPr>
    </w:lvl>
    <w:lvl w:ilvl="7" w:tplc="A7DAD736" w:tentative="1">
      <w:start w:val="1"/>
      <w:numFmt w:val="bullet"/>
      <w:lvlText w:val="o"/>
      <w:lvlJc w:val="left"/>
      <w:pPr>
        <w:ind w:left="5400" w:hanging="360"/>
      </w:pPr>
      <w:rPr>
        <w:rFonts w:ascii="Courier New" w:hAnsi="Courier New" w:hint="default"/>
      </w:rPr>
    </w:lvl>
    <w:lvl w:ilvl="8" w:tplc="EE141834" w:tentative="1">
      <w:start w:val="1"/>
      <w:numFmt w:val="bullet"/>
      <w:lvlText w:val=""/>
      <w:lvlJc w:val="left"/>
      <w:pPr>
        <w:ind w:left="6120" w:hanging="360"/>
      </w:pPr>
      <w:rPr>
        <w:rFonts w:ascii="Wingdings" w:hAnsi="Wingdings" w:hint="default"/>
      </w:rPr>
    </w:lvl>
  </w:abstractNum>
  <w:abstractNum w:abstractNumId="14">
    <w:nsid w:val="482908A4"/>
    <w:multiLevelType w:val="multilevel"/>
    <w:tmpl w:val="58CA9606"/>
    <w:lvl w:ilvl="0">
      <w:numFmt w:val="none"/>
      <w:lvlText w:val=""/>
      <w:lvlJc w:val="left"/>
      <w:pPr>
        <w:tabs>
          <w:tab w:val="num" w:pos="360"/>
        </w:tabs>
      </w:pPr>
      <w:rPr>
        <w:rFonts w:cs="Times New Roman"/>
      </w:rPr>
    </w:lvl>
    <w:lvl w:ilvl="1">
      <w:start w:val="4"/>
      <w:numFmt w:val="decimal"/>
      <w:lvlText w:val="%2."/>
      <w:lvlJc w:val="left"/>
      <w:rPr>
        <w:rFonts w:cs="Times New Roman"/>
        <w:position w:val="0"/>
      </w:rPr>
    </w:lvl>
    <w:lvl w:ilvl="2">
      <w:start w:val="1"/>
      <w:numFmt w:val="lowerLetter"/>
      <w:lvlText w:val="(%3)"/>
      <w:lvlJc w:val="left"/>
      <w:rPr>
        <w:rFonts w:cs="Times New Roman"/>
        <w:position w:val="0"/>
      </w:rPr>
    </w:lvl>
    <w:lvl w:ilvl="3">
      <w:start w:val="1"/>
      <w:numFmt w:val="lowerRoman"/>
      <w:lvlText w:val="(%4)"/>
      <w:lvlJc w:val="left"/>
      <w:rPr>
        <w:rFonts w:cs="Times New Roman"/>
        <w:position w:val="0"/>
      </w:rPr>
    </w:lvl>
    <w:lvl w:ilvl="4">
      <w:start w:val="1"/>
      <w:numFmt w:val="bullet"/>
      <w:lvlText w:val="⇒"/>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
      <w:lvlJc w:val="left"/>
      <w:rPr>
        <w:position w:val="0"/>
      </w:rPr>
    </w:lvl>
    <w:lvl w:ilvl="8">
      <w:start w:val="1"/>
      <w:numFmt w:val="bullet"/>
      <w:lvlText w:val="⇒"/>
      <w:lvlJc w:val="left"/>
      <w:rPr>
        <w:position w:val="0"/>
      </w:rPr>
    </w:lvl>
  </w:abstractNum>
  <w:abstractNum w:abstractNumId="15">
    <w:nsid w:val="546B4A91"/>
    <w:multiLevelType w:val="multilevel"/>
    <w:tmpl w:val="5BD8E6D4"/>
    <w:lvl w:ilvl="0">
      <w:numFmt w:val="none"/>
      <w:lvlText w:val=""/>
      <w:lvlJc w:val="left"/>
      <w:pPr>
        <w:tabs>
          <w:tab w:val="num" w:pos="360"/>
        </w:tabs>
      </w:pPr>
      <w:rPr>
        <w:rFonts w:cs="Times New Roman"/>
      </w:rPr>
    </w:lvl>
    <w:lvl w:ilvl="1">
      <w:start w:val="3"/>
      <w:numFmt w:val="decimal"/>
      <w:lvlText w:val="%2."/>
      <w:lvlJc w:val="left"/>
      <w:rPr>
        <w:rFonts w:cs="Times New Roman"/>
        <w:position w:val="0"/>
      </w:rPr>
    </w:lvl>
    <w:lvl w:ilvl="2">
      <w:start w:val="1"/>
      <w:numFmt w:val="lowerLetter"/>
      <w:lvlText w:val="(%3)"/>
      <w:lvlJc w:val="left"/>
      <w:rPr>
        <w:rFonts w:cs="Times New Roman"/>
        <w:position w:val="0"/>
      </w:rPr>
    </w:lvl>
    <w:lvl w:ilvl="3">
      <w:start w:val="1"/>
      <w:numFmt w:val="lowerRoman"/>
      <w:lvlText w:val="(%4)"/>
      <w:lvlJc w:val="left"/>
      <w:rPr>
        <w:rFonts w:cs="Times New Roman"/>
        <w:position w:val="0"/>
      </w:rPr>
    </w:lvl>
    <w:lvl w:ilvl="4">
      <w:start w:val="1"/>
      <w:numFmt w:val="bullet"/>
      <w:lvlText w:val="⇒"/>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
      <w:lvlJc w:val="left"/>
      <w:rPr>
        <w:position w:val="0"/>
      </w:rPr>
    </w:lvl>
    <w:lvl w:ilvl="8">
      <w:start w:val="1"/>
      <w:numFmt w:val="bullet"/>
      <w:lvlText w:val="⇒"/>
      <w:lvlJc w:val="left"/>
      <w:rPr>
        <w:position w:val="0"/>
      </w:rPr>
    </w:lvl>
  </w:abstractNum>
  <w:abstractNum w:abstractNumId="16">
    <w:nsid w:val="63B90AFF"/>
    <w:multiLevelType w:val="multilevel"/>
    <w:tmpl w:val="E6D4D898"/>
    <w:lvl w:ilvl="0">
      <w:numFmt w:val="none"/>
      <w:lvlText w:val=""/>
      <w:lvlJc w:val="left"/>
      <w:pPr>
        <w:tabs>
          <w:tab w:val="num" w:pos="360"/>
        </w:tabs>
      </w:pPr>
      <w:rPr>
        <w:rFonts w:cs="Times New Roman"/>
      </w:rPr>
    </w:lvl>
    <w:lvl w:ilvl="1">
      <w:start w:val="6"/>
      <w:numFmt w:val="decimal"/>
      <w:lvlText w:val="%2."/>
      <w:lvlJc w:val="left"/>
      <w:rPr>
        <w:rFonts w:cs="Times New Roman"/>
        <w:position w:val="0"/>
      </w:rPr>
    </w:lvl>
    <w:lvl w:ilvl="2">
      <w:start w:val="1"/>
      <w:numFmt w:val="lowerLetter"/>
      <w:lvlText w:val="(%3)"/>
      <w:lvlJc w:val="left"/>
      <w:rPr>
        <w:rFonts w:cs="Times New Roman"/>
        <w:position w:val="0"/>
      </w:rPr>
    </w:lvl>
    <w:lvl w:ilvl="3">
      <w:start w:val="1"/>
      <w:numFmt w:val="lowerRoman"/>
      <w:lvlText w:val="(%4)"/>
      <w:lvlJc w:val="left"/>
      <w:rPr>
        <w:rFonts w:cs="Times New Roman"/>
        <w:position w:val="0"/>
      </w:rPr>
    </w:lvl>
    <w:lvl w:ilvl="4">
      <w:start w:val="1"/>
      <w:numFmt w:val="bullet"/>
      <w:lvlText w:val="⇒"/>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
      <w:lvlJc w:val="left"/>
      <w:rPr>
        <w:position w:val="0"/>
      </w:rPr>
    </w:lvl>
    <w:lvl w:ilvl="8">
      <w:start w:val="1"/>
      <w:numFmt w:val="bullet"/>
      <w:lvlText w:val="⇒"/>
      <w:lvlJc w:val="left"/>
      <w:rPr>
        <w:position w:val="0"/>
      </w:rPr>
    </w:lvl>
  </w:abstractNum>
  <w:abstractNum w:abstractNumId="17">
    <w:nsid w:val="76CA015B"/>
    <w:multiLevelType w:val="multilevel"/>
    <w:tmpl w:val="EFBA485A"/>
    <w:lvl w:ilvl="0">
      <w:numFmt w:val="none"/>
      <w:lvlText w:val=""/>
      <w:lvlJc w:val="left"/>
      <w:pPr>
        <w:tabs>
          <w:tab w:val="num" w:pos="360"/>
        </w:tabs>
      </w:pPr>
      <w:rPr>
        <w:rFonts w:cs="Times New Roman"/>
      </w:rPr>
    </w:lvl>
    <w:lvl w:ilvl="1">
      <w:start w:val="5"/>
      <w:numFmt w:val="decimal"/>
      <w:lvlText w:val="%2."/>
      <w:lvlJc w:val="left"/>
      <w:rPr>
        <w:rFonts w:cs="Times New Roman"/>
        <w:position w:val="0"/>
      </w:rPr>
    </w:lvl>
    <w:lvl w:ilvl="2">
      <w:start w:val="1"/>
      <w:numFmt w:val="lowerLetter"/>
      <w:lvlText w:val="(%3)"/>
      <w:lvlJc w:val="left"/>
      <w:rPr>
        <w:rFonts w:cs="Times New Roman"/>
        <w:position w:val="0"/>
      </w:rPr>
    </w:lvl>
    <w:lvl w:ilvl="3">
      <w:start w:val="1"/>
      <w:numFmt w:val="lowerRoman"/>
      <w:lvlText w:val="(%4)"/>
      <w:lvlJc w:val="left"/>
      <w:rPr>
        <w:rFonts w:cs="Times New Roman"/>
        <w:position w:val="0"/>
      </w:rPr>
    </w:lvl>
    <w:lvl w:ilvl="4">
      <w:start w:val="1"/>
      <w:numFmt w:val="bullet"/>
      <w:lvlText w:val="⇒"/>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
      <w:lvlJc w:val="left"/>
      <w:rPr>
        <w:position w:val="0"/>
      </w:rPr>
    </w:lvl>
    <w:lvl w:ilvl="8">
      <w:start w:val="1"/>
      <w:numFmt w:val="bullet"/>
      <w:lvlText w:val="⇒"/>
      <w:lvlJc w:val="left"/>
      <w:rPr>
        <w:position w:val="0"/>
      </w:rPr>
    </w:lvl>
  </w:abstractNum>
  <w:abstractNum w:abstractNumId="18">
    <w:nsid w:val="7EDE60CA"/>
    <w:multiLevelType w:val="multilevel"/>
    <w:tmpl w:val="FBB04A0C"/>
    <w:lvl w:ilvl="0">
      <w:numFmt w:val="none"/>
      <w:lvlText w:val=""/>
      <w:lvlJc w:val="left"/>
      <w:pPr>
        <w:tabs>
          <w:tab w:val="num" w:pos="360"/>
        </w:tabs>
      </w:pPr>
      <w:rPr>
        <w:rFonts w:cs="Times New Roman"/>
      </w:rPr>
    </w:lvl>
    <w:lvl w:ilvl="1">
      <w:start w:val="2"/>
      <w:numFmt w:val="decimal"/>
      <w:lvlText w:val="%2."/>
      <w:lvlJc w:val="left"/>
      <w:rPr>
        <w:rFonts w:cs="Times New Roman"/>
        <w:position w:val="0"/>
      </w:rPr>
    </w:lvl>
    <w:lvl w:ilvl="2">
      <w:start w:val="1"/>
      <w:numFmt w:val="lowerLetter"/>
      <w:lvlText w:val="(%3)"/>
      <w:lvlJc w:val="left"/>
      <w:rPr>
        <w:rFonts w:cs="Times New Roman"/>
        <w:position w:val="0"/>
      </w:rPr>
    </w:lvl>
    <w:lvl w:ilvl="3">
      <w:start w:val="1"/>
      <w:numFmt w:val="lowerRoman"/>
      <w:lvlText w:val="(%4)"/>
      <w:lvlJc w:val="left"/>
      <w:rPr>
        <w:rFonts w:cs="Times New Roman"/>
        <w:position w:val="0"/>
      </w:rPr>
    </w:lvl>
    <w:lvl w:ilvl="4">
      <w:start w:val="1"/>
      <w:numFmt w:val="bullet"/>
      <w:lvlText w:val="⇒"/>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
      <w:lvlJc w:val="left"/>
      <w:rPr>
        <w:position w:val="0"/>
      </w:rPr>
    </w:lvl>
    <w:lvl w:ilvl="8">
      <w:start w:val="1"/>
      <w:numFmt w:val="bullet"/>
      <w:lvlText w:val="⇒"/>
      <w:lvlJc w:val="left"/>
      <w:rPr>
        <w:position w:val="0"/>
      </w:rPr>
    </w:lvl>
  </w:abstractNum>
  <w:num w:numId="1">
    <w:abstractNumId w:val="8"/>
  </w:num>
  <w:num w:numId="2">
    <w:abstractNumId w:val="11"/>
  </w:num>
  <w:num w:numId="3">
    <w:abstractNumId w:val="8"/>
  </w:num>
  <w:num w:numId="4">
    <w:abstractNumId w:val="11"/>
  </w:num>
  <w:num w:numId="5">
    <w:abstractNumId w:val="8"/>
  </w:num>
  <w:num w:numId="6">
    <w:abstractNumId w:val="11"/>
  </w:num>
  <w:num w:numId="7">
    <w:abstractNumId w:val="8"/>
  </w:num>
  <w:num w:numId="8">
    <w:abstractNumId w:val="11"/>
  </w:num>
  <w:num w:numId="9">
    <w:abstractNumId w:val="8"/>
  </w:num>
  <w:num w:numId="10">
    <w:abstractNumId w:val="11"/>
  </w:num>
  <w:num w:numId="11">
    <w:abstractNumId w:val="8"/>
  </w:num>
  <w:num w:numId="12">
    <w:abstractNumId w:val="11"/>
  </w:num>
  <w:num w:numId="13">
    <w:abstractNumId w:val="8"/>
  </w:num>
  <w:num w:numId="14">
    <w:abstractNumId w:val="11"/>
  </w:num>
  <w:num w:numId="15">
    <w:abstractNumId w:val="12"/>
  </w:num>
  <w:num w:numId="16">
    <w:abstractNumId w:val="8"/>
  </w:num>
  <w:num w:numId="17">
    <w:abstractNumId w:val="12"/>
  </w:num>
  <w:num w:numId="18">
    <w:abstractNumId w:val="11"/>
  </w:num>
  <w:num w:numId="19">
    <w:abstractNumId w:val="12"/>
  </w:num>
  <w:num w:numId="20">
    <w:abstractNumId w:val="12"/>
  </w:num>
  <w:num w:numId="21">
    <w:abstractNumId w:val="12"/>
  </w:num>
  <w:num w:numId="22">
    <w:abstractNumId w:val="12"/>
  </w:num>
  <w:num w:numId="23">
    <w:abstractNumId w:val="12"/>
  </w:num>
  <w:num w:numId="24">
    <w:abstractNumId w:val="12"/>
  </w:num>
  <w:num w:numId="25">
    <w:abstractNumId w:val="13"/>
  </w:num>
  <w:num w:numId="26">
    <w:abstractNumId w:val="12"/>
  </w:num>
  <w:num w:numId="27">
    <w:abstractNumId w:val="10"/>
  </w:num>
  <w:num w:numId="28">
    <w:abstractNumId w:val="18"/>
  </w:num>
  <w:num w:numId="29">
    <w:abstractNumId w:val="15"/>
  </w:num>
  <w:num w:numId="30">
    <w:abstractNumId w:val="14"/>
  </w:num>
  <w:num w:numId="31">
    <w:abstractNumId w:val="17"/>
  </w:num>
  <w:num w:numId="32">
    <w:abstractNumId w:val="16"/>
  </w:num>
  <w:num w:numId="33">
    <w:abstractNumId w:val="6"/>
  </w:num>
  <w:num w:numId="34">
    <w:abstractNumId w:val="5"/>
  </w:num>
  <w:num w:numId="35">
    <w:abstractNumId w:val="4"/>
  </w:num>
  <w:num w:numId="36">
    <w:abstractNumId w:val="7"/>
  </w:num>
  <w:num w:numId="37">
    <w:abstractNumId w:val="3"/>
  </w:num>
  <w:num w:numId="38">
    <w:abstractNumId w:val="2"/>
  </w:num>
  <w:num w:numId="39">
    <w:abstractNumId w:val="1"/>
  </w:num>
  <w:num w:numId="40">
    <w:abstractNumId w:val="0"/>
  </w:num>
  <w:num w:numId="41">
    <w:abstractNumId w:val="9"/>
  </w:num>
  <w:num w:numId="4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attachedTemplate r:id="rId1"/>
  <w:defaultTabStop w:val="720"/>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4778"/>
    <w:rsid w:val="00012D36"/>
    <w:rsid w:val="00064A45"/>
    <w:rsid w:val="000A5F45"/>
    <w:rsid w:val="000B68E0"/>
    <w:rsid w:val="000F450A"/>
    <w:rsid w:val="00153C87"/>
    <w:rsid w:val="001722FC"/>
    <w:rsid w:val="00176468"/>
    <w:rsid w:val="002571BC"/>
    <w:rsid w:val="00257D83"/>
    <w:rsid w:val="002806D3"/>
    <w:rsid w:val="00302E67"/>
    <w:rsid w:val="00323937"/>
    <w:rsid w:val="00352323"/>
    <w:rsid w:val="00386B26"/>
    <w:rsid w:val="003F7899"/>
    <w:rsid w:val="00431BC3"/>
    <w:rsid w:val="0044435A"/>
    <w:rsid w:val="00474CC2"/>
    <w:rsid w:val="004769E6"/>
    <w:rsid w:val="004D75D4"/>
    <w:rsid w:val="004E2F22"/>
    <w:rsid w:val="004F03A7"/>
    <w:rsid w:val="005006BD"/>
    <w:rsid w:val="00512170"/>
    <w:rsid w:val="005630B1"/>
    <w:rsid w:val="005B7BB9"/>
    <w:rsid w:val="005D054C"/>
    <w:rsid w:val="00660700"/>
    <w:rsid w:val="00694AEE"/>
    <w:rsid w:val="006D4CF3"/>
    <w:rsid w:val="006E546A"/>
    <w:rsid w:val="00732B85"/>
    <w:rsid w:val="00747B12"/>
    <w:rsid w:val="007C27D2"/>
    <w:rsid w:val="007E07B4"/>
    <w:rsid w:val="008021FC"/>
    <w:rsid w:val="00826967"/>
    <w:rsid w:val="008620BE"/>
    <w:rsid w:val="0086631C"/>
    <w:rsid w:val="008D12B0"/>
    <w:rsid w:val="00904928"/>
    <w:rsid w:val="0096304A"/>
    <w:rsid w:val="00964778"/>
    <w:rsid w:val="00984EAC"/>
    <w:rsid w:val="009860BE"/>
    <w:rsid w:val="00987D84"/>
    <w:rsid w:val="009D2DFD"/>
    <w:rsid w:val="009D5D08"/>
    <w:rsid w:val="009F1DB7"/>
    <w:rsid w:val="00A2433A"/>
    <w:rsid w:val="00A42FE8"/>
    <w:rsid w:val="00A51B07"/>
    <w:rsid w:val="00A67192"/>
    <w:rsid w:val="00AB6F30"/>
    <w:rsid w:val="00AF086D"/>
    <w:rsid w:val="00B0165F"/>
    <w:rsid w:val="00B02542"/>
    <w:rsid w:val="00B23F95"/>
    <w:rsid w:val="00B24376"/>
    <w:rsid w:val="00B6300E"/>
    <w:rsid w:val="00B75EAB"/>
    <w:rsid w:val="00BA343A"/>
    <w:rsid w:val="00C24F0D"/>
    <w:rsid w:val="00C2592E"/>
    <w:rsid w:val="00C530D0"/>
    <w:rsid w:val="00C629DA"/>
    <w:rsid w:val="00C90DCF"/>
    <w:rsid w:val="00CD0575"/>
    <w:rsid w:val="00CD119E"/>
    <w:rsid w:val="00CD71AD"/>
    <w:rsid w:val="00D04DCE"/>
    <w:rsid w:val="00D10DAF"/>
    <w:rsid w:val="00D44441"/>
    <w:rsid w:val="00D57004"/>
    <w:rsid w:val="00D81270"/>
    <w:rsid w:val="00D844C1"/>
    <w:rsid w:val="00D9519F"/>
    <w:rsid w:val="00D959CB"/>
    <w:rsid w:val="00DC07DC"/>
    <w:rsid w:val="00DD37C4"/>
    <w:rsid w:val="00DD54AA"/>
    <w:rsid w:val="00DF5AE2"/>
    <w:rsid w:val="00E05BFF"/>
    <w:rsid w:val="00E06BCF"/>
    <w:rsid w:val="00E27813"/>
    <w:rsid w:val="00E45825"/>
    <w:rsid w:val="00E5489C"/>
    <w:rsid w:val="00E65237"/>
    <w:rsid w:val="00ED64B9"/>
    <w:rsid w:val="00F44989"/>
    <w:rsid w:val="00F731F4"/>
    <w:rsid w:val="00FB5E84"/>
    <w:rsid w:val="00FD6EEC"/>
    <w:rsid w:val="00FF421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4:docId w14:val="29B0B9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76">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lsdException w:name="toc 2" w:locked="1" w:semiHidden="0" w:uiPriority="39"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
    <w:name w:val="Normal"/>
    <w:qFormat/>
    <w:rsid w:val="005D054C"/>
    <w:pPr>
      <w:spacing w:after="240"/>
      <w:jc w:val="both"/>
    </w:pPr>
    <w:rPr>
      <w:kern w:val="14"/>
      <w:sz w:val="24"/>
      <w:szCs w:val="20"/>
      <w:lang w:val="en-GB"/>
    </w:rPr>
  </w:style>
  <w:style w:type="paragraph" w:styleId="Heading1">
    <w:name w:val="heading 1"/>
    <w:basedOn w:val="Normal"/>
    <w:next w:val="Text"/>
    <w:link w:val="Heading1Char"/>
    <w:uiPriority w:val="99"/>
    <w:qFormat/>
    <w:rsid w:val="005D054C"/>
    <w:pPr>
      <w:keepNext/>
      <w:numPr>
        <w:numId w:val="10"/>
      </w:numPr>
      <w:spacing w:after="180"/>
      <w:jc w:val="left"/>
      <w:outlineLvl w:val="0"/>
    </w:pPr>
    <w:rPr>
      <w:rFonts w:ascii="Arial Black" w:hAnsi="Arial Black"/>
      <w:color w:val="333333"/>
      <w:kern w:val="0"/>
      <w:sz w:val="28"/>
      <w:lang w:eastAsia="ja-JP"/>
    </w:rPr>
  </w:style>
  <w:style w:type="paragraph" w:styleId="Heading2">
    <w:name w:val="heading 2"/>
    <w:basedOn w:val="Normal"/>
    <w:next w:val="Text"/>
    <w:link w:val="Heading2Char"/>
    <w:uiPriority w:val="99"/>
    <w:qFormat/>
    <w:rsid w:val="004F03A7"/>
    <w:pPr>
      <w:keepNext/>
      <w:jc w:val="left"/>
      <w:outlineLvl w:val="1"/>
    </w:pPr>
    <w:rPr>
      <w:rFonts w:ascii="Arial Black" w:hAnsi="Arial Black"/>
      <w:color w:val="333333"/>
      <w:kern w:val="0"/>
      <w:sz w:val="20"/>
    </w:rPr>
  </w:style>
  <w:style w:type="paragraph" w:styleId="Heading3">
    <w:name w:val="heading 3"/>
    <w:basedOn w:val="Normal"/>
    <w:next w:val="Text"/>
    <w:link w:val="Heading3Char"/>
    <w:uiPriority w:val="99"/>
    <w:qFormat/>
    <w:rsid w:val="00474CC2"/>
    <w:pPr>
      <w:keepNext/>
      <w:jc w:val="left"/>
      <w:outlineLvl w:val="2"/>
    </w:pPr>
    <w:rPr>
      <w:rFonts w:cs="Arial"/>
      <w:b/>
      <w:color w:val="333333"/>
      <w:kern w:val="0"/>
      <w:sz w:val="22"/>
      <w:szCs w:val="18"/>
    </w:rPr>
  </w:style>
  <w:style w:type="paragraph" w:styleId="Heading4">
    <w:name w:val="heading 4"/>
    <w:basedOn w:val="Normal"/>
    <w:next w:val="Normal"/>
    <w:link w:val="Heading4Char"/>
    <w:uiPriority w:val="99"/>
    <w:qFormat/>
    <w:rsid w:val="005D054C"/>
    <w:pPr>
      <w:keepNext/>
      <w:jc w:val="left"/>
      <w:outlineLvl w:val="3"/>
    </w:pPr>
    <w:rPr>
      <w:i/>
      <w:shd w:val="clear" w:color="FFFFFF" w:fill="aut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769E6"/>
    <w:rPr>
      <w:rFonts w:ascii="Cambria" w:hAnsi="Cambria" w:cs="Times New Roman"/>
      <w:b/>
      <w:bCs/>
      <w:kern w:val="32"/>
      <w:sz w:val="32"/>
      <w:szCs w:val="32"/>
      <w:lang w:eastAsia="en-US"/>
    </w:rPr>
  </w:style>
  <w:style w:type="character" w:customStyle="1" w:styleId="Heading2Char">
    <w:name w:val="Heading 2 Char"/>
    <w:basedOn w:val="DefaultParagraphFont"/>
    <w:link w:val="Heading2"/>
    <w:uiPriority w:val="99"/>
    <w:locked/>
    <w:rsid w:val="000A5F45"/>
    <w:rPr>
      <w:rFonts w:ascii="Arial Black" w:hAnsi="Arial Black" w:cs="Times New Roman"/>
      <w:color w:val="333333"/>
      <w:lang w:val="en-GB"/>
    </w:rPr>
  </w:style>
  <w:style w:type="character" w:customStyle="1" w:styleId="Heading3Char">
    <w:name w:val="Heading 3 Char"/>
    <w:basedOn w:val="DefaultParagraphFont"/>
    <w:link w:val="Heading3"/>
    <w:uiPriority w:val="99"/>
    <w:semiHidden/>
    <w:locked/>
    <w:rsid w:val="004769E6"/>
    <w:rPr>
      <w:rFonts w:ascii="Cambria" w:hAnsi="Cambria" w:cs="Times New Roman"/>
      <w:b/>
      <w:bCs/>
      <w:kern w:val="14"/>
      <w:sz w:val="26"/>
      <w:szCs w:val="26"/>
      <w:lang w:eastAsia="en-US"/>
    </w:rPr>
  </w:style>
  <w:style w:type="character" w:customStyle="1" w:styleId="Heading4Char">
    <w:name w:val="Heading 4 Char"/>
    <w:basedOn w:val="DefaultParagraphFont"/>
    <w:link w:val="Heading4"/>
    <w:uiPriority w:val="99"/>
    <w:semiHidden/>
    <w:locked/>
    <w:rsid w:val="004769E6"/>
    <w:rPr>
      <w:rFonts w:ascii="Calibri" w:hAnsi="Calibri" w:cs="Times New Roman"/>
      <w:b/>
      <w:bCs/>
      <w:kern w:val="14"/>
      <w:sz w:val="28"/>
      <w:szCs w:val="28"/>
      <w:lang w:eastAsia="en-US"/>
    </w:rPr>
  </w:style>
  <w:style w:type="paragraph" w:styleId="BodyText">
    <w:name w:val="Body Text"/>
    <w:basedOn w:val="Normal"/>
    <w:link w:val="BodyTextChar"/>
    <w:uiPriority w:val="99"/>
    <w:rsid w:val="005D054C"/>
    <w:pPr>
      <w:spacing w:after="0"/>
      <w:jc w:val="left"/>
    </w:pPr>
  </w:style>
  <w:style w:type="character" w:customStyle="1" w:styleId="BodyTextChar">
    <w:name w:val="Body Text Char"/>
    <w:basedOn w:val="DefaultParagraphFont"/>
    <w:link w:val="BodyText"/>
    <w:uiPriority w:val="99"/>
    <w:semiHidden/>
    <w:locked/>
    <w:rsid w:val="004769E6"/>
    <w:rPr>
      <w:rFonts w:cs="Times New Roman"/>
      <w:kern w:val="14"/>
      <w:sz w:val="20"/>
      <w:szCs w:val="20"/>
      <w:lang w:eastAsia="en-US"/>
    </w:rPr>
  </w:style>
  <w:style w:type="paragraph" w:styleId="Caption">
    <w:name w:val="caption"/>
    <w:basedOn w:val="Normal"/>
    <w:next w:val="Table"/>
    <w:uiPriority w:val="99"/>
    <w:qFormat/>
    <w:rsid w:val="005D054C"/>
    <w:pPr>
      <w:keepNext/>
      <w:keepLines/>
      <w:tabs>
        <w:tab w:val="left" w:pos="1080"/>
      </w:tabs>
      <w:ind w:left="1080" w:hanging="1080"/>
      <w:jc w:val="left"/>
      <w:outlineLvl w:val="4"/>
    </w:pPr>
    <w:rPr>
      <w:rFonts w:eastAsia="MS Mincho"/>
      <w:b/>
      <w:sz w:val="22"/>
    </w:rPr>
  </w:style>
  <w:style w:type="paragraph" w:customStyle="1" w:styleId="Code">
    <w:name w:val="Code"/>
    <w:basedOn w:val="BodyText"/>
    <w:uiPriority w:val="99"/>
    <w:rsid w:val="005D054C"/>
    <w:rPr>
      <w:rFonts w:ascii="Courier" w:hAnsi="Courier"/>
      <w:sz w:val="16"/>
    </w:rPr>
  </w:style>
  <w:style w:type="paragraph" w:customStyle="1" w:styleId="DocumentControl">
    <w:name w:val="Document Control"/>
    <w:basedOn w:val="Normal"/>
    <w:uiPriority w:val="99"/>
    <w:rsid w:val="005D054C"/>
    <w:pPr>
      <w:tabs>
        <w:tab w:val="left" w:pos="1786"/>
        <w:tab w:val="left" w:pos="9000"/>
      </w:tabs>
      <w:spacing w:after="0" w:line="240" w:lineRule="exact"/>
      <w:jc w:val="left"/>
    </w:pPr>
    <w:rPr>
      <w:rFonts w:ascii="Arial Black" w:hAnsi="Arial Black"/>
      <w:kern w:val="20"/>
      <w:sz w:val="20"/>
    </w:rPr>
  </w:style>
  <w:style w:type="paragraph" w:styleId="DocumentMap">
    <w:name w:val="Document Map"/>
    <w:basedOn w:val="Normal"/>
    <w:link w:val="DocumentMapChar"/>
    <w:uiPriority w:val="99"/>
    <w:semiHidden/>
    <w:rsid w:val="005D054C"/>
    <w:pPr>
      <w:shd w:val="clear" w:color="auto" w:fill="000080"/>
      <w:tabs>
        <w:tab w:val="num" w:pos="720"/>
      </w:tabs>
      <w:ind w:left="720" w:hanging="720"/>
    </w:pPr>
    <w:rPr>
      <w:rFonts w:ascii="Tahoma" w:eastAsia="MS Gothic" w:hAnsi="Tahoma"/>
      <w:sz w:val="18"/>
    </w:rPr>
  </w:style>
  <w:style w:type="character" w:customStyle="1" w:styleId="DocumentMapChar">
    <w:name w:val="Document Map Char"/>
    <w:basedOn w:val="DefaultParagraphFont"/>
    <w:link w:val="DocumentMap"/>
    <w:uiPriority w:val="99"/>
    <w:semiHidden/>
    <w:locked/>
    <w:rsid w:val="004769E6"/>
    <w:rPr>
      <w:rFonts w:cs="Times New Roman"/>
      <w:kern w:val="14"/>
      <w:sz w:val="2"/>
      <w:lang w:eastAsia="en-US"/>
    </w:rPr>
  </w:style>
  <w:style w:type="paragraph" w:customStyle="1" w:styleId="DraftingNote">
    <w:name w:val="Drafting Note"/>
    <w:basedOn w:val="Normal"/>
    <w:uiPriority w:val="99"/>
    <w:rsid w:val="005D054C"/>
    <w:rPr>
      <w:i/>
      <w:color w:val="FF0000"/>
      <w:shd w:val="clear" w:color="FFFFFF" w:fill="FFFF99"/>
    </w:rPr>
  </w:style>
  <w:style w:type="character" w:customStyle="1" w:styleId="DraftingNoteChar">
    <w:name w:val="Drafting Note Char"/>
    <w:basedOn w:val="DefaultParagraphFont"/>
    <w:uiPriority w:val="99"/>
    <w:rsid w:val="005D054C"/>
    <w:rPr>
      <w:rFonts w:cs="Times New Roman"/>
      <w:i/>
      <w:color w:val="FF0000"/>
      <w:kern w:val="14"/>
      <w:sz w:val="24"/>
      <w:shd w:val="clear" w:color="FFFFFF" w:fill="FFFF99"/>
      <w:lang w:val="en-GB" w:eastAsia="en-US"/>
    </w:rPr>
  </w:style>
  <w:style w:type="paragraph" w:customStyle="1" w:styleId="Equation">
    <w:name w:val="Equation"/>
    <w:basedOn w:val="BodyText"/>
    <w:uiPriority w:val="99"/>
    <w:rsid w:val="005D054C"/>
    <w:pPr>
      <w:tabs>
        <w:tab w:val="right" w:pos="8640"/>
      </w:tabs>
      <w:spacing w:after="240"/>
      <w:ind w:left="1080"/>
    </w:pPr>
  </w:style>
  <w:style w:type="paragraph" w:customStyle="1" w:styleId="Eqwhere">
    <w:name w:val="Eqwhere"/>
    <w:basedOn w:val="BodyText"/>
    <w:uiPriority w:val="99"/>
    <w:rsid w:val="005D054C"/>
    <w:pPr>
      <w:spacing w:after="240"/>
      <w:ind w:left="720"/>
    </w:pPr>
  </w:style>
  <w:style w:type="character" w:styleId="FollowedHyperlink">
    <w:name w:val="FollowedHyperlink"/>
    <w:basedOn w:val="DefaultParagraphFont"/>
    <w:uiPriority w:val="99"/>
    <w:rsid w:val="005D054C"/>
    <w:rPr>
      <w:rFonts w:cs="Times New Roman"/>
      <w:color w:val="auto"/>
      <w:u w:val="none"/>
    </w:rPr>
  </w:style>
  <w:style w:type="paragraph" w:styleId="Header">
    <w:name w:val="header"/>
    <w:basedOn w:val="Normal"/>
    <w:link w:val="HeaderChar"/>
    <w:uiPriority w:val="99"/>
    <w:rsid w:val="005D054C"/>
    <w:pPr>
      <w:tabs>
        <w:tab w:val="right" w:pos="9000"/>
      </w:tabs>
      <w:spacing w:after="0" w:line="240" w:lineRule="exact"/>
      <w:jc w:val="left"/>
    </w:pPr>
    <w:rPr>
      <w:rFonts w:ascii="Arial" w:hAnsi="Arial"/>
      <w:color w:val="0066CC"/>
      <w:kern w:val="18"/>
      <w:sz w:val="18"/>
    </w:rPr>
  </w:style>
  <w:style w:type="character" w:customStyle="1" w:styleId="HeaderChar">
    <w:name w:val="Header Char"/>
    <w:basedOn w:val="DefaultParagraphFont"/>
    <w:link w:val="Header"/>
    <w:uiPriority w:val="99"/>
    <w:semiHidden/>
    <w:locked/>
    <w:rsid w:val="004769E6"/>
    <w:rPr>
      <w:rFonts w:cs="Times New Roman"/>
      <w:kern w:val="14"/>
      <w:sz w:val="20"/>
      <w:szCs w:val="20"/>
      <w:lang w:eastAsia="en-US"/>
    </w:rPr>
  </w:style>
  <w:style w:type="paragraph" w:styleId="Footer">
    <w:name w:val="footer"/>
    <w:basedOn w:val="Header"/>
    <w:link w:val="FooterChar"/>
    <w:uiPriority w:val="99"/>
    <w:semiHidden/>
    <w:rsid w:val="005D054C"/>
  </w:style>
  <w:style w:type="character" w:customStyle="1" w:styleId="FooterChar">
    <w:name w:val="Footer Char"/>
    <w:basedOn w:val="DefaultParagraphFont"/>
    <w:link w:val="Footer"/>
    <w:uiPriority w:val="99"/>
    <w:semiHidden/>
    <w:locked/>
    <w:rsid w:val="004769E6"/>
    <w:rPr>
      <w:rFonts w:cs="Times New Roman"/>
      <w:kern w:val="14"/>
      <w:sz w:val="20"/>
      <w:szCs w:val="20"/>
      <w:lang w:eastAsia="en-US"/>
    </w:rPr>
  </w:style>
  <w:style w:type="character" w:styleId="FootnoteReference">
    <w:name w:val="footnote reference"/>
    <w:basedOn w:val="DefaultParagraphFont"/>
    <w:uiPriority w:val="99"/>
    <w:semiHidden/>
    <w:rsid w:val="005D054C"/>
    <w:rPr>
      <w:rFonts w:cs="Times New Roman"/>
      <w:vertAlign w:val="superscript"/>
    </w:rPr>
  </w:style>
  <w:style w:type="paragraph" w:styleId="FootnoteText">
    <w:name w:val="footnote text"/>
    <w:basedOn w:val="Normal"/>
    <w:link w:val="FootnoteTextChar"/>
    <w:uiPriority w:val="99"/>
    <w:semiHidden/>
    <w:rsid w:val="005D054C"/>
    <w:pPr>
      <w:tabs>
        <w:tab w:val="left" w:pos="180"/>
      </w:tabs>
      <w:spacing w:after="0"/>
      <w:ind w:left="180" w:hanging="180"/>
      <w:jc w:val="left"/>
    </w:pPr>
    <w:rPr>
      <w:sz w:val="18"/>
    </w:rPr>
  </w:style>
  <w:style w:type="character" w:customStyle="1" w:styleId="FootnoteTextChar">
    <w:name w:val="Footnote Text Char"/>
    <w:basedOn w:val="DefaultParagraphFont"/>
    <w:link w:val="FootnoteText"/>
    <w:uiPriority w:val="99"/>
    <w:semiHidden/>
    <w:locked/>
    <w:rsid w:val="004769E6"/>
    <w:rPr>
      <w:rFonts w:cs="Times New Roman"/>
      <w:kern w:val="14"/>
      <w:sz w:val="20"/>
      <w:szCs w:val="20"/>
      <w:lang w:eastAsia="en-US"/>
    </w:rPr>
  </w:style>
  <w:style w:type="paragraph" w:customStyle="1" w:styleId="Hidden">
    <w:name w:val="Hidden"/>
    <w:basedOn w:val="DocumentControl"/>
    <w:uiPriority w:val="99"/>
    <w:rsid w:val="005D054C"/>
    <w:rPr>
      <w:vanish/>
      <w:color w:val="FF6633"/>
    </w:rPr>
  </w:style>
  <w:style w:type="character" w:styleId="Hyperlink">
    <w:name w:val="Hyperlink"/>
    <w:basedOn w:val="DefaultParagraphFont"/>
    <w:uiPriority w:val="99"/>
    <w:rsid w:val="005D054C"/>
    <w:rPr>
      <w:rFonts w:cs="Times New Roman"/>
      <w:color w:val="auto"/>
    </w:rPr>
  </w:style>
  <w:style w:type="paragraph" w:styleId="ListBullet">
    <w:name w:val="List Bullet"/>
    <w:basedOn w:val="Normal"/>
    <w:uiPriority w:val="99"/>
    <w:rsid w:val="005D054C"/>
    <w:pPr>
      <w:numPr>
        <w:ilvl w:val="2"/>
        <w:numId w:val="10"/>
      </w:numPr>
    </w:pPr>
  </w:style>
  <w:style w:type="paragraph" w:styleId="ListBullet2">
    <w:name w:val="List Bullet 2"/>
    <w:basedOn w:val="Normal"/>
    <w:uiPriority w:val="99"/>
    <w:rsid w:val="005D054C"/>
    <w:pPr>
      <w:numPr>
        <w:ilvl w:val="3"/>
        <w:numId w:val="10"/>
      </w:numPr>
    </w:pPr>
  </w:style>
  <w:style w:type="paragraph" w:styleId="PlainText">
    <w:name w:val="Plain Text"/>
    <w:basedOn w:val="Normal"/>
    <w:link w:val="PlainTextChar"/>
    <w:uiPriority w:val="99"/>
    <w:rsid w:val="005D054C"/>
    <w:rPr>
      <w:rFonts w:ascii="Courier" w:hAnsi="Courier"/>
      <w:szCs w:val="24"/>
    </w:rPr>
  </w:style>
  <w:style w:type="character" w:customStyle="1" w:styleId="PlainTextChar">
    <w:name w:val="Plain Text Char"/>
    <w:basedOn w:val="DefaultParagraphFont"/>
    <w:link w:val="PlainText"/>
    <w:uiPriority w:val="99"/>
    <w:semiHidden/>
    <w:locked/>
    <w:rsid w:val="004769E6"/>
    <w:rPr>
      <w:rFonts w:ascii="Courier New" w:hAnsi="Courier New" w:cs="Courier New"/>
      <w:kern w:val="14"/>
      <w:sz w:val="20"/>
      <w:szCs w:val="20"/>
      <w:lang w:eastAsia="en-US"/>
    </w:rPr>
  </w:style>
  <w:style w:type="paragraph" w:customStyle="1" w:styleId="Quotation">
    <w:name w:val="Quotation"/>
    <w:basedOn w:val="BodyText"/>
    <w:rsid w:val="005D054C"/>
    <w:pPr>
      <w:spacing w:after="240"/>
      <w:ind w:left="1080" w:right="360"/>
      <w:jc w:val="both"/>
    </w:pPr>
    <w:rPr>
      <w:spacing w:val="-4"/>
      <w:kern w:val="20"/>
    </w:rPr>
  </w:style>
  <w:style w:type="paragraph" w:customStyle="1" w:styleId="Table">
    <w:name w:val="Table"/>
    <w:basedOn w:val="Normal"/>
    <w:rsid w:val="005D054C"/>
    <w:pPr>
      <w:tabs>
        <w:tab w:val="num" w:pos="720"/>
      </w:tabs>
      <w:spacing w:before="120" w:after="120"/>
      <w:jc w:val="left"/>
    </w:pPr>
    <w:rPr>
      <w:sz w:val="22"/>
    </w:rPr>
  </w:style>
  <w:style w:type="table" w:styleId="TableGrid">
    <w:name w:val="Table Grid"/>
    <w:basedOn w:val="TableNormal"/>
    <w:uiPriority w:val="99"/>
    <w:rsid w:val="005D054C"/>
    <w:pPr>
      <w:spacing w:after="240"/>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LastNote">
    <w:name w:val="Table Last Note"/>
    <w:basedOn w:val="Normal"/>
    <w:uiPriority w:val="99"/>
    <w:rsid w:val="005D054C"/>
    <w:pPr>
      <w:keepLines/>
      <w:tabs>
        <w:tab w:val="num" w:pos="0"/>
      </w:tabs>
      <w:spacing w:before="40"/>
    </w:pPr>
    <w:rPr>
      <w:rFonts w:cs="Arial"/>
      <w:sz w:val="18"/>
      <w:szCs w:val="24"/>
    </w:rPr>
  </w:style>
  <w:style w:type="paragraph" w:customStyle="1" w:styleId="TableNotes">
    <w:name w:val="Table Notes"/>
    <w:basedOn w:val="Normal"/>
    <w:uiPriority w:val="99"/>
    <w:rsid w:val="005D054C"/>
    <w:pPr>
      <w:keepNext/>
      <w:keepLines/>
      <w:tabs>
        <w:tab w:val="num" w:pos="720"/>
      </w:tabs>
      <w:spacing w:before="40" w:after="40"/>
    </w:pPr>
    <w:rPr>
      <w:i/>
      <w:sz w:val="18"/>
    </w:rPr>
  </w:style>
  <w:style w:type="paragraph" w:customStyle="1" w:styleId="Text">
    <w:name w:val="Text"/>
    <w:basedOn w:val="Normal"/>
    <w:uiPriority w:val="99"/>
    <w:rsid w:val="002806D3"/>
    <w:pPr>
      <w:numPr>
        <w:ilvl w:val="1"/>
        <w:numId w:val="10"/>
      </w:numPr>
    </w:pPr>
  </w:style>
  <w:style w:type="paragraph" w:styleId="TOC1">
    <w:name w:val="toc 1"/>
    <w:basedOn w:val="Normal"/>
    <w:next w:val="Normal"/>
    <w:autoRedefine/>
    <w:uiPriority w:val="39"/>
    <w:rsid w:val="005D054C"/>
    <w:pPr>
      <w:keepNext/>
      <w:tabs>
        <w:tab w:val="left" w:pos="353"/>
        <w:tab w:val="right" w:leader="dot" w:pos="9000"/>
      </w:tabs>
      <w:spacing w:before="180" w:after="0"/>
      <w:ind w:left="360" w:right="374" w:hanging="360"/>
      <w:jc w:val="left"/>
    </w:pPr>
    <w:rPr>
      <w:rFonts w:ascii="Arial" w:hAnsi="Arial"/>
      <w:b/>
      <w:noProof/>
      <w:kern w:val="0"/>
      <w:sz w:val="22"/>
    </w:rPr>
  </w:style>
  <w:style w:type="paragraph" w:styleId="TOC2">
    <w:name w:val="toc 2"/>
    <w:basedOn w:val="Normal"/>
    <w:next w:val="Normal"/>
    <w:autoRedefine/>
    <w:uiPriority w:val="39"/>
    <w:rsid w:val="005D054C"/>
    <w:pPr>
      <w:tabs>
        <w:tab w:val="right" w:leader="dot" w:pos="9000"/>
      </w:tabs>
      <w:spacing w:before="240" w:after="0"/>
      <w:ind w:right="360"/>
      <w:jc w:val="left"/>
    </w:pPr>
    <w:rPr>
      <w:b/>
      <w:noProof/>
      <w:kern w:val="0"/>
      <w:sz w:val="22"/>
    </w:rPr>
  </w:style>
  <w:style w:type="paragraph" w:styleId="TOC3">
    <w:name w:val="toc 3"/>
    <w:basedOn w:val="Normal"/>
    <w:next w:val="Normal"/>
    <w:autoRedefine/>
    <w:uiPriority w:val="99"/>
    <w:semiHidden/>
    <w:rsid w:val="005D054C"/>
    <w:pPr>
      <w:tabs>
        <w:tab w:val="right" w:leader="dot" w:pos="9000"/>
      </w:tabs>
      <w:spacing w:after="0"/>
      <w:ind w:right="380"/>
    </w:pPr>
    <w:rPr>
      <w:noProof/>
      <w:sz w:val="18"/>
    </w:rPr>
  </w:style>
  <w:style w:type="paragraph" w:styleId="TOCHeading">
    <w:name w:val="TOC Heading"/>
    <w:basedOn w:val="TOC1"/>
    <w:uiPriority w:val="99"/>
    <w:qFormat/>
    <w:rsid w:val="005D054C"/>
    <w:pPr>
      <w:ind w:right="0"/>
    </w:pPr>
  </w:style>
  <w:style w:type="paragraph" w:customStyle="1" w:styleId="Default">
    <w:name w:val="Default"/>
    <w:uiPriority w:val="99"/>
    <w:rsid w:val="00474CC2"/>
    <w:pPr>
      <w:autoSpaceDE w:val="0"/>
      <w:autoSpaceDN w:val="0"/>
      <w:adjustRightInd w:val="0"/>
    </w:pPr>
    <w:rPr>
      <w:rFonts w:ascii="Verdana" w:hAnsi="Verdana" w:cs="Verdana"/>
      <w:color w:val="000000"/>
      <w:sz w:val="24"/>
      <w:szCs w:val="24"/>
    </w:rPr>
  </w:style>
  <w:style w:type="character" w:customStyle="1" w:styleId="legaddition">
    <w:name w:val="legaddition"/>
    <w:basedOn w:val="DefaultParagraphFont"/>
    <w:uiPriority w:val="99"/>
    <w:rsid w:val="00474CC2"/>
    <w:rPr>
      <w:rFonts w:cs="Times New Roman"/>
    </w:rPr>
  </w:style>
  <w:style w:type="paragraph" w:customStyle="1" w:styleId="Byline">
    <w:name w:val="Byline"/>
    <w:basedOn w:val="Heading3"/>
    <w:uiPriority w:val="99"/>
    <w:rsid w:val="004F03A7"/>
    <w:pPr>
      <w:outlineLvl w:val="4"/>
    </w:pPr>
  </w:style>
  <w:style w:type="paragraph" w:customStyle="1" w:styleId="Heading">
    <w:name w:val="Heading"/>
    <w:next w:val="Text"/>
    <w:uiPriority w:val="99"/>
    <w:rsid w:val="00BA343A"/>
    <w:pPr>
      <w:keepNext/>
      <w:pBdr>
        <w:top w:val="none" w:sz="96" w:space="31" w:color="FFFFFF" w:frame="1"/>
        <w:left w:val="none" w:sz="96" w:space="31" w:color="FFFFFF" w:frame="1"/>
        <w:bottom w:val="none" w:sz="96" w:space="31" w:color="FFFFFF" w:frame="1"/>
        <w:right w:val="none" w:sz="96" w:space="31" w:color="FFFFFF" w:frame="1"/>
        <w:bar w:val="none" w:sz="0" w:color="000000"/>
      </w:pBdr>
      <w:spacing w:after="180"/>
      <w:outlineLvl w:val="0"/>
    </w:pPr>
    <w:rPr>
      <w:rFonts w:ascii="Arial Black" w:eastAsia="Arial Unicode MS" w:hAnsi="Arial Unicode MS" w:cs="Arial Unicode MS"/>
      <w:bCs/>
      <w:color w:val="333333"/>
      <w:sz w:val="28"/>
      <w:szCs w:val="28"/>
      <w:u w:color="333333"/>
      <w:lang w:val="es-ES_tradnl"/>
    </w:rPr>
  </w:style>
  <w:style w:type="paragraph" w:customStyle="1" w:styleId="TableB">
    <w:name w:val="TableB"/>
    <w:basedOn w:val="Table"/>
    <w:next w:val="Table"/>
    <w:uiPriority w:val="99"/>
    <w:rsid w:val="00DC07DC"/>
    <w:pPr>
      <w:tabs>
        <w:tab w:val="clear" w:pos="720"/>
      </w:tabs>
    </w:pPr>
    <w:rPr>
      <w:rFonts w:eastAsia="Arial Unicode MS"/>
      <w:b/>
      <w:szCs w:val="22"/>
    </w:rPr>
  </w:style>
  <w:style w:type="paragraph" w:customStyle="1" w:styleId="T2">
    <w:name w:val="T2"/>
    <w:basedOn w:val="Text"/>
    <w:uiPriority w:val="99"/>
    <w:rsid w:val="00BA343A"/>
    <w:pPr>
      <w:numPr>
        <w:numId w:val="27"/>
      </w:numPr>
      <w:tabs>
        <w:tab w:val="left" w:pos="720"/>
      </w:tabs>
    </w:pPr>
    <w:rPr>
      <w:rFonts w:eastAsia="Arial Unicode MS" w:hAnsi="Arial Unicode MS" w:cs="Arial Unicode MS"/>
      <w:color w:val="000000"/>
      <w:szCs w:val="24"/>
      <w:u w:color="000000"/>
      <w:lang w:val="en-US"/>
    </w:rPr>
  </w:style>
  <w:style w:type="paragraph" w:customStyle="1" w:styleId="Normalnumbered">
    <w:name w:val="Normal numbered"/>
    <w:basedOn w:val="Normal"/>
    <w:rsid w:val="005B7BB9"/>
    <w:pPr>
      <w:tabs>
        <w:tab w:val="num" w:pos="540"/>
      </w:tabs>
      <w:ind w:left="540" w:hanging="360"/>
      <w:jc w:val="left"/>
    </w:pPr>
    <w:rPr>
      <w:rFonts w:ascii="EDFE Meta-Normal Roman" w:hAnsi="EDFE Meta-Normal Roman"/>
      <w:kern w:val="0"/>
      <w:sz w:val="22"/>
    </w:rPr>
  </w:style>
  <w:style w:type="paragraph" w:styleId="TOC4">
    <w:name w:val="toc 4"/>
    <w:basedOn w:val="Normal"/>
    <w:next w:val="Normal"/>
    <w:autoRedefine/>
    <w:locked/>
    <w:rsid w:val="006E546A"/>
    <w:pPr>
      <w:ind w:left="720"/>
    </w:pPr>
  </w:style>
  <w:style w:type="paragraph" w:styleId="TOC5">
    <w:name w:val="toc 5"/>
    <w:basedOn w:val="Normal"/>
    <w:next w:val="Normal"/>
    <w:autoRedefine/>
    <w:locked/>
    <w:rsid w:val="006E546A"/>
    <w:pPr>
      <w:ind w:left="960"/>
    </w:pPr>
  </w:style>
  <w:style w:type="paragraph" w:styleId="TOC6">
    <w:name w:val="toc 6"/>
    <w:basedOn w:val="Normal"/>
    <w:next w:val="Normal"/>
    <w:autoRedefine/>
    <w:locked/>
    <w:rsid w:val="006E546A"/>
    <w:pPr>
      <w:ind w:left="1200"/>
    </w:pPr>
  </w:style>
  <w:style w:type="paragraph" w:styleId="TOC7">
    <w:name w:val="toc 7"/>
    <w:basedOn w:val="Normal"/>
    <w:next w:val="Normal"/>
    <w:autoRedefine/>
    <w:locked/>
    <w:rsid w:val="006E546A"/>
    <w:pPr>
      <w:ind w:left="1440"/>
    </w:pPr>
  </w:style>
  <w:style w:type="paragraph" w:styleId="TOC8">
    <w:name w:val="toc 8"/>
    <w:basedOn w:val="Normal"/>
    <w:next w:val="Normal"/>
    <w:autoRedefine/>
    <w:locked/>
    <w:rsid w:val="006E546A"/>
    <w:pPr>
      <w:ind w:left="1680"/>
    </w:pPr>
  </w:style>
  <w:style w:type="paragraph" w:styleId="TOC9">
    <w:name w:val="toc 9"/>
    <w:basedOn w:val="Normal"/>
    <w:next w:val="Normal"/>
    <w:autoRedefine/>
    <w:locked/>
    <w:rsid w:val="006E546A"/>
    <w:pPr>
      <w:ind w:left="1920"/>
    </w:pPr>
  </w:style>
  <w:style w:type="paragraph" w:styleId="ListParagraph">
    <w:name w:val="List Paragraph"/>
    <w:basedOn w:val="Normal"/>
    <w:uiPriority w:val="34"/>
    <w:qFormat/>
    <w:rsid w:val="00C90DCF"/>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76">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lsdException w:name="toc 2" w:locked="1" w:semiHidden="0" w:uiPriority="39"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
    <w:name w:val="Normal"/>
    <w:qFormat/>
    <w:rsid w:val="005D054C"/>
    <w:pPr>
      <w:spacing w:after="240"/>
      <w:jc w:val="both"/>
    </w:pPr>
    <w:rPr>
      <w:kern w:val="14"/>
      <w:sz w:val="24"/>
      <w:szCs w:val="20"/>
      <w:lang w:val="en-GB"/>
    </w:rPr>
  </w:style>
  <w:style w:type="paragraph" w:styleId="Heading1">
    <w:name w:val="heading 1"/>
    <w:basedOn w:val="Normal"/>
    <w:next w:val="Text"/>
    <w:link w:val="Heading1Char"/>
    <w:uiPriority w:val="99"/>
    <w:qFormat/>
    <w:rsid w:val="005D054C"/>
    <w:pPr>
      <w:keepNext/>
      <w:numPr>
        <w:numId w:val="10"/>
      </w:numPr>
      <w:spacing w:after="180"/>
      <w:jc w:val="left"/>
      <w:outlineLvl w:val="0"/>
    </w:pPr>
    <w:rPr>
      <w:rFonts w:ascii="Arial Black" w:hAnsi="Arial Black"/>
      <w:color w:val="333333"/>
      <w:kern w:val="0"/>
      <w:sz w:val="28"/>
      <w:lang w:eastAsia="ja-JP"/>
    </w:rPr>
  </w:style>
  <w:style w:type="paragraph" w:styleId="Heading2">
    <w:name w:val="heading 2"/>
    <w:basedOn w:val="Normal"/>
    <w:next w:val="Text"/>
    <w:link w:val="Heading2Char"/>
    <w:uiPriority w:val="99"/>
    <w:qFormat/>
    <w:rsid w:val="004F03A7"/>
    <w:pPr>
      <w:keepNext/>
      <w:jc w:val="left"/>
      <w:outlineLvl w:val="1"/>
    </w:pPr>
    <w:rPr>
      <w:rFonts w:ascii="Arial Black" w:hAnsi="Arial Black"/>
      <w:color w:val="333333"/>
      <w:kern w:val="0"/>
      <w:sz w:val="20"/>
    </w:rPr>
  </w:style>
  <w:style w:type="paragraph" w:styleId="Heading3">
    <w:name w:val="heading 3"/>
    <w:basedOn w:val="Normal"/>
    <w:next w:val="Text"/>
    <w:link w:val="Heading3Char"/>
    <w:uiPriority w:val="99"/>
    <w:qFormat/>
    <w:rsid w:val="00474CC2"/>
    <w:pPr>
      <w:keepNext/>
      <w:jc w:val="left"/>
      <w:outlineLvl w:val="2"/>
    </w:pPr>
    <w:rPr>
      <w:rFonts w:cs="Arial"/>
      <w:b/>
      <w:color w:val="333333"/>
      <w:kern w:val="0"/>
      <w:sz w:val="22"/>
      <w:szCs w:val="18"/>
    </w:rPr>
  </w:style>
  <w:style w:type="paragraph" w:styleId="Heading4">
    <w:name w:val="heading 4"/>
    <w:basedOn w:val="Normal"/>
    <w:next w:val="Normal"/>
    <w:link w:val="Heading4Char"/>
    <w:uiPriority w:val="99"/>
    <w:qFormat/>
    <w:rsid w:val="005D054C"/>
    <w:pPr>
      <w:keepNext/>
      <w:jc w:val="left"/>
      <w:outlineLvl w:val="3"/>
    </w:pPr>
    <w:rPr>
      <w:i/>
      <w:shd w:val="clear" w:color="FFFFFF" w:fill="aut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769E6"/>
    <w:rPr>
      <w:rFonts w:ascii="Cambria" w:hAnsi="Cambria" w:cs="Times New Roman"/>
      <w:b/>
      <w:bCs/>
      <w:kern w:val="32"/>
      <w:sz w:val="32"/>
      <w:szCs w:val="32"/>
      <w:lang w:eastAsia="en-US"/>
    </w:rPr>
  </w:style>
  <w:style w:type="character" w:customStyle="1" w:styleId="Heading2Char">
    <w:name w:val="Heading 2 Char"/>
    <w:basedOn w:val="DefaultParagraphFont"/>
    <w:link w:val="Heading2"/>
    <w:uiPriority w:val="99"/>
    <w:locked/>
    <w:rsid w:val="000A5F45"/>
    <w:rPr>
      <w:rFonts w:ascii="Arial Black" w:hAnsi="Arial Black" w:cs="Times New Roman"/>
      <w:color w:val="333333"/>
      <w:lang w:val="en-GB"/>
    </w:rPr>
  </w:style>
  <w:style w:type="character" w:customStyle="1" w:styleId="Heading3Char">
    <w:name w:val="Heading 3 Char"/>
    <w:basedOn w:val="DefaultParagraphFont"/>
    <w:link w:val="Heading3"/>
    <w:uiPriority w:val="99"/>
    <w:semiHidden/>
    <w:locked/>
    <w:rsid w:val="004769E6"/>
    <w:rPr>
      <w:rFonts w:ascii="Cambria" w:hAnsi="Cambria" w:cs="Times New Roman"/>
      <w:b/>
      <w:bCs/>
      <w:kern w:val="14"/>
      <w:sz w:val="26"/>
      <w:szCs w:val="26"/>
      <w:lang w:eastAsia="en-US"/>
    </w:rPr>
  </w:style>
  <w:style w:type="character" w:customStyle="1" w:styleId="Heading4Char">
    <w:name w:val="Heading 4 Char"/>
    <w:basedOn w:val="DefaultParagraphFont"/>
    <w:link w:val="Heading4"/>
    <w:uiPriority w:val="99"/>
    <w:semiHidden/>
    <w:locked/>
    <w:rsid w:val="004769E6"/>
    <w:rPr>
      <w:rFonts w:ascii="Calibri" w:hAnsi="Calibri" w:cs="Times New Roman"/>
      <w:b/>
      <w:bCs/>
      <w:kern w:val="14"/>
      <w:sz w:val="28"/>
      <w:szCs w:val="28"/>
      <w:lang w:eastAsia="en-US"/>
    </w:rPr>
  </w:style>
  <w:style w:type="paragraph" w:styleId="BodyText">
    <w:name w:val="Body Text"/>
    <w:basedOn w:val="Normal"/>
    <w:link w:val="BodyTextChar"/>
    <w:uiPriority w:val="99"/>
    <w:rsid w:val="005D054C"/>
    <w:pPr>
      <w:spacing w:after="0"/>
      <w:jc w:val="left"/>
    </w:pPr>
  </w:style>
  <w:style w:type="character" w:customStyle="1" w:styleId="BodyTextChar">
    <w:name w:val="Body Text Char"/>
    <w:basedOn w:val="DefaultParagraphFont"/>
    <w:link w:val="BodyText"/>
    <w:uiPriority w:val="99"/>
    <w:semiHidden/>
    <w:locked/>
    <w:rsid w:val="004769E6"/>
    <w:rPr>
      <w:rFonts w:cs="Times New Roman"/>
      <w:kern w:val="14"/>
      <w:sz w:val="20"/>
      <w:szCs w:val="20"/>
      <w:lang w:eastAsia="en-US"/>
    </w:rPr>
  </w:style>
  <w:style w:type="paragraph" w:styleId="Caption">
    <w:name w:val="caption"/>
    <w:basedOn w:val="Normal"/>
    <w:next w:val="Table"/>
    <w:uiPriority w:val="99"/>
    <w:qFormat/>
    <w:rsid w:val="005D054C"/>
    <w:pPr>
      <w:keepNext/>
      <w:keepLines/>
      <w:tabs>
        <w:tab w:val="left" w:pos="1080"/>
      </w:tabs>
      <w:ind w:left="1080" w:hanging="1080"/>
      <w:jc w:val="left"/>
      <w:outlineLvl w:val="4"/>
    </w:pPr>
    <w:rPr>
      <w:rFonts w:eastAsia="MS Mincho"/>
      <w:b/>
      <w:sz w:val="22"/>
    </w:rPr>
  </w:style>
  <w:style w:type="paragraph" w:customStyle="1" w:styleId="Code">
    <w:name w:val="Code"/>
    <w:basedOn w:val="BodyText"/>
    <w:uiPriority w:val="99"/>
    <w:rsid w:val="005D054C"/>
    <w:rPr>
      <w:rFonts w:ascii="Courier" w:hAnsi="Courier"/>
      <w:sz w:val="16"/>
    </w:rPr>
  </w:style>
  <w:style w:type="paragraph" w:customStyle="1" w:styleId="DocumentControl">
    <w:name w:val="Document Control"/>
    <w:basedOn w:val="Normal"/>
    <w:uiPriority w:val="99"/>
    <w:rsid w:val="005D054C"/>
    <w:pPr>
      <w:tabs>
        <w:tab w:val="left" w:pos="1786"/>
        <w:tab w:val="left" w:pos="9000"/>
      </w:tabs>
      <w:spacing w:after="0" w:line="240" w:lineRule="exact"/>
      <w:jc w:val="left"/>
    </w:pPr>
    <w:rPr>
      <w:rFonts w:ascii="Arial Black" w:hAnsi="Arial Black"/>
      <w:kern w:val="20"/>
      <w:sz w:val="20"/>
    </w:rPr>
  </w:style>
  <w:style w:type="paragraph" w:styleId="DocumentMap">
    <w:name w:val="Document Map"/>
    <w:basedOn w:val="Normal"/>
    <w:link w:val="DocumentMapChar"/>
    <w:uiPriority w:val="99"/>
    <w:semiHidden/>
    <w:rsid w:val="005D054C"/>
    <w:pPr>
      <w:shd w:val="clear" w:color="auto" w:fill="000080"/>
      <w:tabs>
        <w:tab w:val="num" w:pos="720"/>
      </w:tabs>
      <w:ind w:left="720" w:hanging="720"/>
    </w:pPr>
    <w:rPr>
      <w:rFonts w:ascii="Tahoma" w:eastAsia="MS Gothic" w:hAnsi="Tahoma"/>
      <w:sz w:val="18"/>
    </w:rPr>
  </w:style>
  <w:style w:type="character" w:customStyle="1" w:styleId="DocumentMapChar">
    <w:name w:val="Document Map Char"/>
    <w:basedOn w:val="DefaultParagraphFont"/>
    <w:link w:val="DocumentMap"/>
    <w:uiPriority w:val="99"/>
    <w:semiHidden/>
    <w:locked/>
    <w:rsid w:val="004769E6"/>
    <w:rPr>
      <w:rFonts w:cs="Times New Roman"/>
      <w:kern w:val="14"/>
      <w:sz w:val="2"/>
      <w:lang w:eastAsia="en-US"/>
    </w:rPr>
  </w:style>
  <w:style w:type="paragraph" w:customStyle="1" w:styleId="DraftingNote">
    <w:name w:val="Drafting Note"/>
    <w:basedOn w:val="Normal"/>
    <w:uiPriority w:val="99"/>
    <w:rsid w:val="005D054C"/>
    <w:rPr>
      <w:i/>
      <w:color w:val="FF0000"/>
      <w:shd w:val="clear" w:color="FFFFFF" w:fill="FFFF99"/>
    </w:rPr>
  </w:style>
  <w:style w:type="character" w:customStyle="1" w:styleId="DraftingNoteChar">
    <w:name w:val="Drafting Note Char"/>
    <w:basedOn w:val="DefaultParagraphFont"/>
    <w:uiPriority w:val="99"/>
    <w:rsid w:val="005D054C"/>
    <w:rPr>
      <w:rFonts w:cs="Times New Roman"/>
      <w:i/>
      <w:color w:val="FF0000"/>
      <w:kern w:val="14"/>
      <w:sz w:val="24"/>
      <w:shd w:val="clear" w:color="FFFFFF" w:fill="FFFF99"/>
      <w:lang w:val="en-GB" w:eastAsia="en-US"/>
    </w:rPr>
  </w:style>
  <w:style w:type="paragraph" w:customStyle="1" w:styleId="Equation">
    <w:name w:val="Equation"/>
    <w:basedOn w:val="BodyText"/>
    <w:uiPriority w:val="99"/>
    <w:rsid w:val="005D054C"/>
    <w:pPr>
      <w:tabs>
        <w:tab w:val="right" w:pos="8640"/>
      </w:tabs>
      <w:spacing w:after="240"/>
      <w:ind w:left="1080"/>
    </w:pPr>
  </w:style>
  <w:style w:type="paragraph" w:customStyle="1" w:styleId="Eqwhere">
    <w:name w:val="Eqwhere"/>
    <w:basedOn w:val="BodyText"/>
    <w:uiPriority w:val="99"/>
    <w:rsid w:val="005D054C"/>
    <w:pPr>
      <w:spacing w:after="240"/>
      <w:ind w:left="720"/>
    </w:pPr>
  </w:style>
  <w:style w:type="character" w:styleId="FollowedHyperlink">
    <w:name w:val="FollowedHyperlink"/>
    <w:basedOn w:val="DefaultParagraphFont"/>
    <w:uiPriority w:val="99"/>
    <w:rsid w:val="005D054C"/>
    <w:rPr>
      <w:rFonts w:cs="Times New Roman"/>
      <w:color w:val="auto"/>
      <w:u w:val="none"/>
    </w:rPr>
  </w:style>
  <w:style w:type="paragraph" w:styleId="Header">
    <w:name w:val="header"/>
    <w:basedOn w:val="Normal"/>
    <w:link w:val="HeaderChar"/>
    <w:uiPriority w:val="99"/>
    <w:rsid w:val="005D054C"/>
    <w:pPr>
      <w:tabs>
        <w:tab w:val="right" w:pos="9000"/>
      </w:tabs>
      <w:spacing w:after="0" w:line="240" w:lineRule="exact"/>
      <w:jc w:val="left"/>
    </w:pPr>
    <w:rPr>
      <w:rFonts w:ascii="Arial" w:hAnsi="Arial"/>
      <w:color w:val="0066CC"/>
      <w:kern w:val="18"/>
      <w:sz w:val="18"/>
    </w:rPr>
  </w:style>
  <w:style w:type="character" w:customStyle="1" w:styleId="HeaderChar">
    <w:name w:val="Header Char"/>
    <w:basedOn w:val="DefaultParagraphFont"/>
    <w:link w:val="Header"/>
    <w:uiPriority w:val="99"/>
    <w:semiHidden/>
    <w:locked/>
    <w:rsid w:val="004769E6"/>
    <w:rPr>
      <w:rFonts w:cs="Times New Roman"/>
      <w:kern w:val="14"/>
      <w:sz w:val="20"/>
      <w:szCs w:val="20"/>
      <w:lang w:eastAsia="en-US"/>
    </w:rPr>
  </w:style>
  <w:style w:type="paragraph" w:styleId="Footer">
    <w:name w:val="footer"/>
    <w:basedOn w:val="Header"/>
    <w:link w:val="FooterChar"/>
    <w:uiPriority w:val="99"/>
    <w:semiHidden/>
    <w:rsid w:val="005D054C"/>
  </w:style>
  <w:style w:type="character" w:customStyle="1" w:styleId="FooterChar">
    <w:name w:val="Footer Char"/>
    <w:basedOn w:val="DefaultParagraphFont"/>
    <w:link w:val="Footer"/>
    <w:uiPriority w:val="99"/>
    <w:semiHidden/>
    <w:locked/>
    <w:rsid w:val="004769E6"/>
    <w:rPr>
      <w:rFonts w:cs="Times New Roman"/>
      <w:kern w:val="14"/>
      <w:sz w:val="20"/>
      <w:szCs w:val="20"/>
      <w:lang w:eastAsia="en-US"/>
    </w:rPr>
  </w:style>
  <w:style w:type="character" w:styleId="FootnoteReference">
    <w:name w:val="footnote reference"/>
    <w:basedOn w:val="DefaultParagraphFont"/>
    <w:uiPriority w:val="99"/>
    <w:semiHidden/>
    <w:rsid w:val="005D054C"/>
    <w:rPr>
      <w:rFonts w:cs="Times New Roman"/>
      <w:vertAlign w:val="superscript"/>
    </w:rPr>
  </w:style>
  <w:style w:type="paragraph" w:styleId="FootnoteText">
    <w:name w:val="footnote text"/>
    <w:basedOn w:val="Normal"/>
    <w:link w:val="FootnoteTextChar"/>
    <w:uiPriority w:val="99"/>
    <w:semiHidden/>
    <w:rsid w:val="005D054C"/>
    <w:pPr>
      <w:tabs>
        <w:tab w:val="left" w:pos="180"/>
      </w:tabs>
      <w:spacing w:after="0"/>
      <w:ind w:left="180" w:hanging="180"/>
      <w:jc w:val="left"/>
    </w:pPr>
    <w:rPr>
      <w:sz w:val="18"/>
    </w:rPr>
  </w:style>
  <w:style w:type="character" w:customStyle="1" w:styleId="FootnoteTextChar">
    <w:name w:val="Footnote Text Char"/>
    <w:basedOn w:val="DefaultParagraphFont"/>
    <w:link w:val="FootnoteText"/>
    <w:uiPriority w:val="99"/>
    <w:semiHidden/>
    <w:locked/>
    <w:rsid w:val="004769E6"/>
    <w:rPr>
      <w:rFonts w:cs="Times New Roman"/>
      <w:kern w:val="14"/>
      <w:sz w:val="20"/>
      <w:szCs w:val="20"/>
      <w:lang w:eastAsia="en-US"/>
    </w:rPr>
  </w:style>
  <w:style w:type="paragraph" w:customStyle="1" w:styleId="Hidden">
    <w:name w:val="Hidden"/>
    <w:basedOn w:val="DocumentControl"/>
    <w:uiPriority w:val="99"/>
    <w:rsid w:val="005D054C"/>
    <w:rPr>
      <w:vanish/>
      <w:color w:val="FF6633"/>
    </w:rPr>
  </w:style>
  <w:style w:type="character" w:styleId="Hyperlink">
    <w:name w:val="Hyperlink"/>
    <w:basedOn w:val="DefaultParagraphFont"/>
    <w:uiPriority w:val="99"/>
    <w:rsid w:val="005D054C"/>
    <w:rPr>
      <w:rFonts w:cs="Times New Roman"/>
      <w:color w:val="auto"/>
    </w:rPr>
  </w:style>
  <w:style w:type="paragraph" w:styleId="ListBullet">
    <w:name w:val="List Bullet"/>
    <w:basedOn w:val="Normal"/>
    <w:uiPriority w:val="99"/>
    <w:rsid w:val="005D054C"/>
    <w:pPr>
      <w:numPr>
        <w:ilvl w:val="2"/>
        <w:numId w:val="10"/>
      </w:numPr>
    </w:pPr>
  </w:style>
  <w:style w:type="paragraph" w:styleId="ListBullet2">
    <w:name w:val="List Bullet 2"/>
    <w:basedOn w:val="Normal"/>
    <w:uiPriority w:val="99"/>
    <w:rsid w:val="005D054C"/>
    <w:pPr>
      <w:numPr>
        <w:ilvl w:val="3"/>
        <w:numId w:val="10"/>
      </w:numPr>
    </w:pPr>
  </w:style>
  <w:style w:type="paragraph" w:styleId="PlainText">
    <w:name w:val="Plain Text"/>
    <w:basedOn w:val="Normal"/>
    <w:link w:val="PlainTextChar"/>
    <w:uiPriority w:val="99"/>
    <w:rsid w:val="005D054C"/>
    <w:rPr>
      <w:rFonts w:ascii="Courier" w:hAnsi="Courier"/>
      <w:szCs w:val="24"/>
    </w:rPr>
  </w:style>
  <w:style w:type="character" w:customStyle="1" w:styleId="PlainTextChar">
    <w:name w:val="Plain Text Char"/>
    <w:basedOn w:val="DefaultParagraphFont"/>
    <w:link w:val="PlainText"/>
    <w:uiPriority w:val="99"/>
    <w:semiHidden/>
    <w:locked/>
    <w:rsid w:val="004769E6"/>
    <w:rPr>
      <w:rFonts w:ascii="Courier New" w:hAnsi="Courier New" w:cs="Courier New"/>
      <w:kern w:val="14"/>
      <w:sz w:val="20"/>
      <w:szCs w:val="20"/>
      <w:lang w:eastAsia="en-US"/>
    </w:rPr>
  </w:style>
  <w:style w:type="paragraph" w:customStyle="1" w:styleId="Quotation">
    <w:name w:val="Quotation"/>
    <w:basedOn w:val="BodyText"/>
    <w:rsid w:val="005D054C"/>
    <w:pPr>
      <w:spacing w:after="240"/>
      <w:ind w:left="1080" w:right="360"/>
      <w:jc w:val="both"/>
    </w:pPr>
    <w:rPr>
      <w:spacing w:val="-4"/>
      <w:kern w:val="20"/>
    </w:rPr>
  </w:style>
  <w:style w:type="paragraph" w:customStyle="1" w:styleId="Table">
    <w:name w:val="Table"/>
    <w:basedOn w:val="Normal"/>
    <w:rsid w:val="005D054C"/>
    <w:pPr>
      <w:tabs>
        <w:tab w:val="num" w:pos="720"/>
      </w:tabs>
      <w:spacing w:before="120" w:after="120"/>
      <w:jc w:val="left"/>
    </w:pPr>
    <w:rPr>
      <w:sz w:val="22"/>
    </w:rPr>
  </w:style>
  <w:style w:type="table" w:styleId="TableGrid">
    <w:name w:val="Table Grid"/>
    <w:basedOn w:val="TableNormal"/>
    <w:uiPriority w:val="99"/>
    <w:rsid w:val="005D054C"/>
    <w:pPr>
      <w:spacing w:after="240"/>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LastNote">
    <w:name w:val="Table Last Note"/>
    <w:basedOn w:val="Normal"/>
    <w:uiPriority w:val="99"/>
    <w:rsid w:val="005D054C"/>
    <w:pPr>
      <w:keepLines/>
      <w:tabs>
        <w:tab w:val="num" w:pos="0"/>
      </w:tabs>
      <w:spacing w:before="40"/>
    </w:pPr>
    <w:rPr>
      <w:rFonts w:cs="Arial"/>
      <w:sz w:val="18"/>
      <w:szCs w:val="24"/>
    </w:rPr>
  </w:style>
  <w:style w:type="paragraph" w:customStyle="1" w:styleId="TableNotes">
    <w:name w:val="Table Notes"/>
    <w:basedOn w:val="Normal"/>
    <w:uiPriority w:val="99"/>
    <w:rsid w:val="005D054C"/>
    <w:pPr>
      <w:keepNext/>
      <w:keepLines/>
      <w:tabs>
        <w:tab w:val="num" w:pos="720"/>
      </w:tabs>
      <w:spacing w:before="40" w:after="40"/>
    </w:pPr>
    <w:rPr>
      <w:i/>
      <w:sz w:val="18"/>
    </w:rPr>
  </w:style>
  <w:style w:type="paragraph" w:customStyle="1" w:styleId="Text">
    <w:name w:val="Text"/>
    <w:basedOn w:val="Normal"/>
    <w:uiPriority w:val="99"/>
    <w:rsid w:val="002806D3"/>
    <w:pPr>
      <w:numPr>
        <w:ilvl w:val="1"/>
        <w:numId w:val="10"/>
      </w:numPr>
    </w:pPr>
  </w:style>
  <w:style w:type="paragraph" w:styleId="TOC1">
    <w:name w:val="toc 1"/>
    <w:basedOn w:val="Normal"/>
    <w:next w:val="Normal"/>
    <w:autoRedefine/>
    <w:uiPriority w:val="39"/>
    <w:rsid w:val="005D054C"/>
    <w:pPr>
      <w:keepNext/>
      <w:tabs>
        <w:tab w:val="left" w:pos="353"/>
        <w:tab w:val="right" w:leader="dot" w:pos="9000"/>
      </w:tabs>
      <w:spacing w:before="180" w:after="0"/>
      <w:ind w:left="360" w:right="374" w:hanging="360"/>
      <w:jc w:val="left"/>
    </w:pPr>
    <w:rPr>
      <w:rFonts w:ascii="Arial" w:hAnsi="Arial"/>
      <w:b/>
      <w:noProof/>
      <w:kern w:val="0"/>
      <w:sz w:val="22"/>
    </w:rPr>
  </w:style>
  <w:style w:type="paragraph" w:styleId="TOC2">
    <w:name w:val="toc 2"/>
    <w:basedOn w:val="Normal"/>
    <w:next w:val="Normal"/>
    <w:autoRedefine/>
    <w:uiPriority w:val="39"/>
    <w:rsid w:val="005D054C"/>
    <w:pPr>
      <w:tabs>
        <w:tab w:val="right" w:leader="dot" w:pos="9000"/>
      </w:tabs>
      <w:spacing w:before="240" w:after="0"/>
      <w:ind w:right="360"/>
      <w:jc w:val="left"/>
    </w:pPr>
    <w:rPr>
      <w:b/>
      <w:noProof/>
      <w:kern w:val="0"/>
      <w:sz w:val="22"/>
    </w:rPr>
  </w:style>
  <w:style w:type="paragraph" w:styleId="TOC3">
    <w:name w:val="toc 3"/>
    <w:basedOn w:val="Normal"/>
    <w:next w:val="Normal"/>
    <w:autoRedefine/>
    <w:uiPriority w:val="99"/>
    <w:semiHidden/>
    <w:rsid w:val="005D054C"/>
    <w:pPr>
      <w:tabs>
        <w:tab w:val="right" w:leader="dot" w:pos="9000"/>
      </w:tabs>
      <w:spacing w:after="0"/>
      <w:ind w:right="380"/>
    </w:pPr>
    <w:rPr>
      <w:noProof/>
      <w:sz w:val="18"/>
    </w:rPr>
  </w:style>
  <w:style w:type="paragraph" w:styleId="TOCHeading">
    <w:name w:val="TOC Heading"/>
    <w:basedOn w:val="TOC1"/>
    <w:uiPriority w:val="99"/>
    <w:qFormat/>
    <w:rsid w:val="005D054C"/>
    <w:pPr>
      <w:ind w:right="0"/>
    </w:pPr>
  </w:style>
  <w:style w:type="paragraph" w:customStyle="1" w:styleId="Default">
    <w:name w:val="Default"/>
    <w:uiPriority w:val="99"/>
    <w:rsid w:val="00474CC2"/>
    <w:pPr>
      <w:autoSpaceDE w:val="0"/>
      <w:autoSpaceDN w:val="0"/>
      <w:adjustRightInd w:val="0"/>
    </w:pPr>
    <w:rPr>
      <w:rFonts w:ascii="Verdana" w:hAnsi="Verdana" w:cs="Verdana"/>
      <w:color w:val="000000"/>
      <w:sz w:val="24"/>
      <w:szCs w:val="24"/>
    </w:rPr>
  </w:style>
  <w:style w:type="character" w:customStyle="1" w:styleId="legaddition">
    <w:name w:val="legaddition"/>
    <w:basedOn w:val="DefaultParagraphFont"/>
    <w:uiPriority w:val="99"/>
    <w:rsid w:val="00474CC2"/>
    <w:rPr>
      <w:rFonts w:cs="Times New Roman"/>
    </w:rPr>
  </w:style>
  <w:style w:type="paragraph" w:customStyle="1" w:styleId="Byline">
    <w:name w:val="Byline"/>
    <w:basedOn w:val="Heading3"/>
    <w:uiPriority w:val="99"/>
    <w:rsid w:val="004F03A7"/>
    <w:pPr>
      <w:outlineLvl w:val="4"/>
    </w:pPr>
  </w:style>
  <w:style w:type="paragraph" w:customStyle="1" w:styleId="Heading">
    <w:name w:val="Heading"/>
    <w:next w:val="Text"/>
    <w:uiPriority w:val="99"/>
    <w:rsid w:val="00BA343A"/>
    <w:pPr>
      <w:keepNext/>
      <w:pBdr>
        <w:top w:val="none" w:sz="96" w:space="31" w:color="FFFFFF" w:frame="1"/>
        <w:left w:val="none" w:sz="96" w:space="31" w:color="FFFFFF" w:frame="1"/>
        <w:bottom w:val="none" w:sz="96" w:space="31" w:color="FFFFFF" w:frame="1"/>
        <w:right w:val="none" w:sz="96" w:space="31" w:color="FFFFFF" w:frame="1"/>
        <w:bar w:val="none" w:sz="0" w:color="000000"/>
      </w:pBdr>
      <w:spacing w:after="180"/>
      <w:outlineLvl w:val="0"/>
    </w:pPr>
    <w:rPr>
      <w:rFonts w:ascii="Arial Black" w:eastAsia="Arial Unicode MS" w:hAnsi="Arial Unicode MS" w:cs="Arial Unicode MS"/>
      <w:bCs/>
      <w:color w:val="333333"/>
      <w:sz w:val="28"/>
      <w:szCs w:val="28"/>
      <w:u w:color="333333"/>
      <w:lang w:val="es-ES_tradnl"/>
    </w:rPr>
  </w:style>
  <w:style w:type="paragraph" w:customStyle="1" w:styleId="TableB">
    <w:name w:val="TableB"/>
    <w:basedOn w:val="Table"/>
    <w:next w:val="Table"/>
    <w:uiPriority w:val="99"/>
    <w:rsid w:val="00DC07DC"/>
    <w:pPr>
      <w:tabs>
        <w:tab w:val="clear" w:pos="720"/>
      </w:tabs>
    </w:pPr>
    <w:rPr>
      <w:rFonts w:eastAsia="Arial Unicode MS"/>
      <w:b/>
      <w:szCs w:val="22"/>
    </w:rPr>
  </w:style>
  <w:style w:type="paragraph" w:customStyle="1" w:styleId="T2">
    <w:name w:val="T2"/>
    <w:basedOn w:val="Text"/>
    <w:uiPriority w:val="99"/>
    <w:rsid w:val="00BA343A"/>
    <w:pPr>
      <w:numPr>
        <w:numId w:val="27"/>
      </w:numPr>
      <w:tabs>
        <w:tab w:val="left" w:pos="720"/>
      </w:tabs>
    </w:pPr>
    <w:rPr>
      <w:rFonts w:eastAsia="Arial Unicode MS" w:hAnsi="Arial Unicode MS" w:cs="Arial Unicode MS"/>
      <w:color w:val="000000"/>
      <w:szCs w:val="24"/>
      <w:u w:color="000000"/>
      <w:lang w:val="en-US"/>
    </w:rPr>
  </w:style>
  <w:style w:type="paragraph" w:customStyle="1" w:styleId="Normalnumbered">
    <w:name w:val="Normal numbered"/>
    <w:basedOn w:val="Normal"/>
    <w:rsid w:val="005B7BB9"/>
    <w:pPr>
      <w:tabs>
        <w:tab w:val="num" w:pos="540"/>
      </w:tabs>
      <w:ind w:left="540" w:hanging="360"/>
      <w:jc w:val="left"/>
    </w:pPr>
    <w:rPr>
      <w:rFonts w:ascii="EDFE Meta-Normal Roman" w:hAnsi="EDFE Meta-Normal Roman"/>
      <w:kern w:val="0"/>
      <w:sz w:val="22"/>
    </w:rPr>
  </w:style>
  <w:style w:type="paragraph" w:styleId="TOC4">
    <w:name w:val="toc 4"/>
    <w:basedOn w:val="Normal"/>
    <w:next w:val="Normal"/>
    <w:autoRedefine/>
    <w:locked/>
    <w:rsid w:val="006E546A"/>
    <w:pPr>
      <w:ind w:left="720"/>
    </w:pPr>
  </w:style>
  <w:style w:type="paragraph" w:styleId="TOC5">
    <w:name w:val="toc 5"/>
    <w:basedOn w:val="Normal"/>
    <w:next w:val="Normal"/>
    <w:autoRedefine/>
    <w:locked/>
    <w:rsid w:val="006E546A"/>
    <w:pPr>
      <w:ind w:left="960"/>
    </w:pPr>
  </w:style>
  <w:style w:type="paragraph" w:styleId="TOC6">
    <w:name w:val="toc 6"/>
    <w:basedOn w:val="Normal"/>
    <w:next w:val="Normal"/>
    <w:autoRedefine/>
    <w:locked/>
    <w:rsid w:val="006E546A"/>
    <w:pPr>
      <w:ind w:left="1200"/>
    </w:pPr>
  </w:style>
  <w:style w:type="paragraph" w:styleId="TOC7">
    <w:name w:val="toc 7"/>
    <w:basedOn w:val="Normal"/>
    <w:next w:val="Normal"/>
    <w:autoRedefine/>
    <w:locked/>
    <w:rsid w:val="006E546A"/>
    <w:pPr>
      <w:ind w:left="1440"/>
    </w:pPr>
  </w:style>
  <w:style w:type="paragraph" w:styleId="TOC8">
    <w:name w:val="toc 8"/>
    <w:basedOn w:val="Normal"/>
    <w:next w:val="Normal"/>
    <w:autoRedefine/>
    <w:locked/>
    <w:rsid w:val="006E546A"/>
    <w:pPr>
      <w:ind w:left="1680"/>
    </w:pPr>
  </w:style>
  <w:style w:type="paragraph" w:styleId="TOC9">
    <w:name w:val="toc 9"/>
    <w:basedOn w:val="Normal"/>
    <w:next w:val="Normal"/>
    <w:autoRedefine/>
    <w:locked/>
    <w:rsid w:val="006E546A"/>
    <w:pPr>
      <w:ind w:left="1920"/>
    </w:pPr>
  </w:style>
  <w:style w:type="paragraph" w:styleId="ListParagraph">
    <w:name w:val="List Paragraph"/>
    <w:basedOn w:val="Normal"/>
    <w:uiPriority w:val="34"/>
    <w:qFormat/>
    <w:rsid w:val="00C90DC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95920">
      <w:bodyDiv w:val="1"/>
      <w:marLeft w:val="0"/>
      <w:marRight w:val="0"/>
      <w:marTop w:val="0"/>
      <w:marBottom w:val="0"/>
      <w:divBdr>
        <w:top w:val="none" w:sz="0" w:space="0" w:color="auto"/>
        <w:left w:val="none" w:sz="0" w:space="0" w:color="auto"/>
        <w:bottom w:val="none" w:sz="0" w:space="0" w:color="auto"/>
        <w:right w:val="none" w:sz="0" w:space="0" w:color="auto"/>
      </w:divBdr>
    </w:div>
    <w:div w:id="134180338">
      <w:bodyDiv w:val="1"/>
      <w:marLeft w:val="0"/>
      <w:marRight w:val="0"/>
      <w:marTop w:val="0"/>
      <w:marBottom w:val="0"/>
      <w:divBdr>
        <w:top w:val="none" w:sz="0" w:space="0" w:color="auto"/>
        <w:left w:val="none" w:sz="0" w:space="0" w:color="auto"/>
        <w:bottom w:val="none" w:sz="0" w:space="0" w:color="auto"/>
        <w:right w:val="none" w:sz="0" w:space="0" w:color="auto"/>
      </w:divBdr>
    </w:div>
    <w:div w:id="474185264">
      <w:bodyDiv w:val="1"/>
      <w:marLeft w:val="0"/>
      <w:marRight w:val="0"/>
      <w:marTop w:val="0"/>
      <w:marBottom w:val="0"/>
      <w:divBdr>
        <w:top w:val="none" w:sz="0" w:space="0" w:color="auto"/>
        <w:left w:val="none" w:sz="0" w:space="0" w:color="auto"/>
        <w:bottom w:val="none" w:sz="0" w:space="0" w:color="auto"/>
        <w:right w:val="none" w:sz="0" w:space="0" w:color="auto"/>
      </w:divBdr>
    </w:div>
    <w:div w:id="601183036">
      <w:marLeft w:val="0"/>
      <w:marRight w:val="0"/>
      <w:marTop w:val="0"/>
      <w:marBottom w:val="0"/>
      <w:divBdr>
        <w:top w:val="none" w:sz="0" w:space="0" w:color="auto"/>
        <w:left w:val="none" w:sz="0" w:space="0" w:color="auto"/>
        <w:bottom w:val="none" w:sz="0" w:space="0" w:color="auto"/>
        <w:right w:val="none" w:sz="0" w:space="0" w:color="auto"/>
      </w:divBdr>
    </w:div>
    <w:div w:id="601183037">
      <w:marLeft w:val="0"/>
      <w:marRight w:val="0"/>
      <w:marTop w:val="0"/>
      <w:marBottom w:val="0"/>
      <w:divBdr>
        <w:top w:val="none" w:sz="0" w:space="0" w:color="auto"/>
        <w:left w:val="none" w:sz="0" w:space="0" w:color="auto"/>
        <w:bottom w:val="none" w:sz="0" w:space="0" w:color="auto"/>
        <w:right w:val="none" w:sz="0" w:space="0" w:color="auto"/>
      </w:divBdr>
    </w:div>
    <w:div w:id="601183038">
      <w:marLeft w:val="0"/>
      <w:marRight w:val="0"/>
      <w:marTop w:val="0"/>
      <w:marBottom w:val="0"/>
      <w:divBdr>
        <w:top w:val="none" w:sz="0" w:space="0" w:color="auto"/>
        <w:left w:val="none" w:sz="0" w:space="0" w:color="auto"/>
        <w:bottom w:val="none" w:sz="0" w:space="0" w:color="auto"/>
        <w:right w:val="none" w:sz="0" w:space="0" w:color="auto"/>
      </w:divBdr>
    </w:div>
    <w:div w:id="601183039">
      <w:marLeft w:val="0"/>
      <w:marRight w:val="0"/>
      <w:marTop w:val="0"/>
      <w:marBottom w:val="0"/>
      <w:divBdr>
        <w:top w:val="none" w:sz="0" w:space="0" w:color="auto"/>
        <w:left w:val="none" w:sz="0" w:space="0" w:color="auto"/>
        <w:bottom w:val="none" w:sz="0" w:space="0" w:color="auto"/>
        <w:right w:val="none" w:sz="0" w:space="0" w:color="auto"/>
      </w:divBdr>
    </w:div>
    <w:div w:id="601183040">
      <w:marLeft w:val="0"/>
      <w:marRight w:val="0"/>
      <w:marTop w:val="0"/>
      <w:marBottom w:val="0"/>
      <w:divBdr>
        <w:top w:val="none" w:sz="0" w:space="0" w:color="auto"/>
        <w:left w:val="none" w:sz="0" w:space="0" w:color="auto"/>
        <w:bottom w:val="none" w:sz="0" w:space="0" w:color="auto"/>
        <w:right w:val="none" w:sz="0" w:space="0" w:color="auto"/>
      </w:divBdr>
    </w:div>
    <w:div w:id="601183041">
      <w:marLeft w:val="0"/>
      <w:marRight w:val="0"/>
      <w:marTop w:val="0"/>
      <w:marBottom w:val="0"/>
      <w:divBdr>
        <w:top w:val="none" w:sz="0" w:space="0" w:color="auto"/>
        <w:left w:val="none" w:sz="0" w:space="0" w:color="auto"/>
        <w:bottom w:val="none" w:sz="0" w:space="0" w:color="auto"/>
        <w:right w:val="none" w:sz="0" w:space="0" w:color="auto"/>
      </w:divBdr>
    </w:div>
    <w:div w:id="601183042">
      <w:marLeft w:val="0"/>
      <w:marRight w:val="0"/>
      <w:marTop w:val="0"/>
      <w:marBottom w:val="0"/>
      <w:divBdr>
        <w:top w:val="none" w:sz="0" w:space="0" w:color="auto"/>
        <w:left w:val="none" w:sz="0" w:space="0" w:color="auto"/>
        <w:bottom w:val="none" w:sz="0" w:space="0" w:color="auto"/>
        <w:right w:val="none" w:sz="0" w:space="0" w:color="auto"/>
      </w:divBdr>
    </w:div>
    <w:div w:id="601183043">
      <w:marLeft w:val="0"/>
      <w:marRight w:val="0"/>
      <w:marTop w:val="0"/>
      <w:marBottom w:val="0"/>
      <w:divBdr>
        <w:top w:val="none" w:sz="0" w:space="0" w:color="auto"/>
        <w:left w:val="none" w:sz="0" w:space="0" w:color="auto"/>
        <w:bottom w:val="none" w:sz="0" w:space="0" w:color="auto"/>
        <w:right w:val="none" w:sz="0" w:space="0" w:color="auto"/>
      </w:divBdr>
    </w:div>
    <w:div w:id="601183044">
      <w:marLeft w:val="0"/>
      <w:marRight w:val="0"/>
      <w:marTop w:val="0"/>
      <w:marBottom w:val="0"/>
      <w:divBdr>
        <w:top w:val="none" w:sz="0" w:space="0" w:color="auto"/>
        <w:left w:val="none" w:sz="0" w:space="0" w:color="auto"/>
        <w:bottom w:val="none" w:sz="0" w:space="0" w:color="auto"/>
        <w:right w:val="none" w:sz="0" w:space="0" w:color="auto"/>
      </w:divBdr>
    </w:div>
    <w:div w:id="1491865618">
      <w:bodyDiv w:val="1"/>
      <w:marLeft w:val="0"/>
      <w:marRight w:val="0"/>
      <w:marTop w:val="0"/>
      <w:marBottom w:val="0"/>
      <w:divBdr>
        <w:top w:val="none" w:sz="0" w:space="0" w:color="auto"/>
        <w:left w:val="none" w:sz="0" w:space="0" w:color="auto"/>
        <w:bottom w:val="none" w:sz="0" w:space="0" w:color="auto"/>
        <w:right w:val="none" w:sz="0" w:space="0" w:color="auto"/>
      </w:divBdr>
    </w:div>
    <w:div w:id="1617440348">
      <w:bodyDiv w:val="1"/>
      <w:marLeft w:val="0"/>
      <w:marRight w:val="0"/>
      <w:marTop w:val="0"/>
      <w:marBottom w:val="0"/>
      <w:divBdr>
        <w:top w:val="none" w:sz="0" w:space="0" w:color="auto"/>
        <w:left w:val="none" w:sz="0" w:space="0" w:color="auto"/>
        <w:bottom w:val="none" w:sz="0" w:space="0" w:color="auto"/>
        <w:right w:val="none" w:sz="0" w:space="0" w:color="auto"/>
      </w:divBdr>
    </w:div>
    <w:div w:id="2011760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footer" Target="footer1.xm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Macintosh%20HD:Users:franck:Documents:Projects:Templates:Paper.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Paper.dotx</Template>
  <TotalTime>0</TotalTime>
  <Pages>6</Pages>
  <Words>2002</Words>
  <Characters>11417</Characters>
  <Application>Microsoft Macintosh Word</Application>
  <DocSecurity>4</DocSecurity>
  <Lines>95</Lines>
  <Paragraphs>26</Paragraphs>
  <ScaleCrop>false</ScaleCrop>
  <Company/>
  <LinksUpToDate>false</LinksUpToDate>
  <CharactersWithSpaces>13393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DCP 179 CDCM model r____</dc:title>
  <dc:subject/>
  <dc:creator>Franck Latrémolière (Reckon)</dc:creator>
  <cp:keywords/>
  <dc:description/>
  <cp:lastModifiedBy>Franck Latrémolière (Reckon)</cp:lastModifiedBy>
  <cp:revision>2</cp:revision>
  <cp:lastPrinted>2014-03-26T15:02:00Z</cp:lastPrinted>
  <dcterms:created xsi:type="dcterms:W3CDTF">2014-04-25T11:54:00Z</dcterms:created>
  <dcterms:modified xsi:type="dcterms:W3CDTF">2014-04-25T11:54:00Z</dcterms:modified>
</cp:coreProperties>
</file>